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9BE97" w14:textId="77777777" w:rsidR="00DB60FF" w:rsidRPr="00B51EF8" w:rsidRDefault="00DB60FF" w:rsidP="00DB60FF">
      <w:pPr>
        <w:jc w:val="center"/>
        <w:rPr>
          <w:rFonts w:ascii="Arial" w:hAnsi="Arial"/>
          <w:b/>
          <w:sz w:val="23"/>
          <w:szCs w:val="23"/>
          <w:u w:val="single"/>
        </w:rPr>
      </w:pPr>
      <w:bookmarkStart w:id="0" w:name="_GoBack"/>
      <w:bookmarkEnd w:id="0"/>
      <w:r w:rsidRPr="00B51EF8">
        <w:rPr>
          <w:rFonts w:ascii="Arial" w:hAnsi="Arial"/>
          <w:b/>
          <w:sz w:val="23"/>
          <w:szCs w:val="23"/>
          <w:u w:val="single"/>
        </w:rPr>
        <w:t>SERVICE CHARGES – SUMMARY OF TENANT</w:t>
      </w:r>
      <w:r w:rsidR="0030539F" w:rsidRPr="00B51EF8">
        <w:rPr>
          <w:rFonts w:ascii="Arial" w:hAnsi="Arial"/>
          <w:b/>
          <w:sz w:val="23"/>
          <w:szCs w:val="23"/>
          <w:u w:val="single"/>
        </w:rPr>
        <w:t>'</w:t>
      </w:r>
      <w:r w:rsidRPr="00B51EF8">
        <w:rPr>
          <w:rFonts w:ascii="Arial" w:hAnsi="Arial"/>
          <w:b/>
          <w:sz w:val="23"/>
          <w:szCs w:val="23"/>
          <w:u w:val="single"/>
        </w:rPr>
        <w:t>S RIGHTS &amp; OBLIGATIONS</w:t>
      </w:r>
    </w:p>
    <w:p w14:paraId="537168B7" w14:textId="77777777" w:rsidR="00DB60FF" w:rsidRPr="00B51EF8" w:rsidRDefault="00DB60FF" w:rsidP="00276BCC">
      <w:pPr>
        <w:jc w:val="both"/>
        <w:rPr>
          <w:rFonts w:ascii="Arial" w:hAnsi="Arial"/>
          <w:b/>
          <w:sz w:val="23"/>
          <w:szCs w:val="23"/>
        </w:rPr>
      </w:pPr>
    </w:p>
    <w:p w14:paraId="40CB27B8" w14:textId="77777777" w:rsidR="00DB60FF" w:rsidRPr="00B51EF8" w:rsidRDefault="00DB60FF" w:rsidP="00276BCC">
      <w:pPr>
        <w:jc w:val="both"/>
        <w:rPr>
          <w:rFonts w:ascii="Arial" w:hAnsi="Arial"/>
          <w:sz w:val="23"/>
          <w:szCs w:val="23"/>
        </w:rPr>
      </w:pPr>
      <w:r w:rsidRPr="00514D56">
        <w:rPr>
          <w:rFonts w:ascii="Arial" w:hAnsi="Arial"/>
          <w:b/>
          <w:sz w:val="23"/>
          <w:szCs w:val="23"/>
        </w:rPr>
        <w:t>(1)</w:t>
      </w:r>
      <w:r w:rsidRPr="00B51EF8">
        <w:rPr>
          <w:rFonts w:ascii="Arial" w:hAnsi="Arial"/>
          <w:sz w:val="23"/>
          <w:szCs w:val="23"/>
        </w:rPr>
        <w:t xml:space="preserve"> This summary, which briefly sets out your rights and obligations in relation to variable service charges, must by law accompany a demand for service charges. Unless a summary is sent to you with a demand, you may withhold the service charge. The summary does not give a full interpretation of the law and if you are in any doubt about your rights and obligations, you should seek independent advice.</w:t>
      </w:r>
    </w:p>
    <w:p w14:paraId="4CBFA59E" w14:textId="77777777" w:rsidR="00DB60FF" w:rsidRPr="00B51EF8" w:rsidRDefault="00DB60FF" w:rsidP="00276BCC">
      <w:pPr>
        <w:jc w:val="both"/>
        <w:rPr>
          <w:rFonts w:ascii="Arial" w:hAnsi="Arial"/>
          <w:sz w:val="23"/>
          <w:szCs w:val="23"/>
        </w:rPr>
      </w:pPr>
      <w:r w:rsidRPr="00514D56">
        <w:rPr>
          <w:rFonts w:ascii="Arial" w:hAnsi="Arial"/>
          <w:b/>
          <w:sz w:val="23"/>
          <w:szCs w:val="23"/>
        </w:rPr>
        <w:t>(2)</w:t>
      </w:r>
      <w:r w:rsidRPr="00B51EF8">
        <w:rPr>
          <w:rFonts w:ascii="Arial" w:hAnsi="Arial"/>
          <w:sz w:val="23"/>
          <w:szCs w:val="23"/>
        </w:rPr>
        <w:t xml:space="preserve"> Your lease sets out your obligations to pay service charges to your landlord in addition to your rent. Service Charges are amounts payable for services, repairs, maintenance, improvements, insurance or the landlord costs of management, to the extent that the costs have been reasonably incurred.</w:t>
      </w:r>
    </w:p>
    <w:p w14:paraId="6F418E30" w14:textId="77777777" w:rsidR="00DB60FF" w:rsidRPr="00B51EF8" w:rsidRDefault="00DB60FF" w:rsidP="00276BCC">
      <w:pPr>
        <w:jc w:val="both"/>
        <w:rPr>
          <w:rFonts w:ascii="Arial" w:hAnsi="Arial"/>
          <w:sz w:val="23"/>
          <w:szCs w:val="23"/>
        </w:rPr>
      </w:pPr>
      <w:r w:rsidRPr="00514D56">
        <w:rPr>
          <w:rFonts w:ascii="Arial" w:hAnsi="Arial"/>
          <w:b/>
          <w:sz w:val="23"/>
          <w:szCs w:val="23"/>
        </w:rPr>
        <w:t>(3</w:t>
      </w:r>
      <w:r w:rsidRPr="00B51EF8">
        <w:rPr>
          <w:rFonts w:ascii="Arial" w:hAnsi="Arial"/>
          <w:sz w:val="23"/>
          <w:szCs w:val="23"/>
        </w:rPr>
        <w:t xml:space="preserve">) You have the right to ask a </w:t>
      </w:r>
      <w:r w:rsidR="000C474A" w:rsidRPr="00B51EF8">
        <w:rPr>
          <w:rFonts w:ascii="Arial" w:hAnsi="Arial"/>
          <w:sz w:val="23"/>
          <w:szCs w:val="23"/>
        </w:rPr>
        <w:t>First-Tier Tribunal</w:t>
      </w:r>
      <w:r w:rsidRPr="00B51EF8">
        <w:rPr>
          <w:rFonts w:ascii="Arial" w:hAnsi="Arial"/>
          <w:sz w:val="23"/>
          <w:szCs w:val="23"/>
        </w:rPr>
        <w:t xml:space="preserve"> to determine whether you are liable to pay service charges for services, repairs, maintenance, improvements, insurance or management.  You may make a request before or after you have paid the service charge. If the tribunal determines that the service charge is payable, the tribunal may also determine – who should pay the service charge and whom it should be paid to: the amount: the date it should be paid by: and how it </w:t>
      </w:r>
      <w:r w:rsidRPr="00B51EF8">
        <w:rPr>
          <w:rFonts w:ascii="Arial" w:hAnsi="Arial"/>
          <w:sz w:val="23"/>
          <w:szCs w:val="23"/>
        </w:rPr>
        <w:lastRenderedPageBreak/>
        <w:t>should be paid.  However, you do not have these rights where – a matter has been agreed or admitted by you: a matter has already been, or is to be, referred to arbitration or has been determined by arbitration and you agreed to go to arbitration after the disagreement about the service charge or costs arose; or a matter has been decided by a court.</w:t>
      </w:r>
    </w:p>
    <w:p w14:paraId="40F8C7F1" w14:textId="77777777" w:rsidR="00DB60FF" w:rsidRPr="00B51EF8" w:rsidRDefault="00DB60FF" w:rsidP="00276BCC">
      <w:pPr>
        <w:jc w:val="both"/>
        <w:rPr>
          <w:rFonts w:ascii="Arial" w:hAnsi="Arial"/>
          <w:sz w:val="23"/>
          <w:szCs w:val="23"/>
        </w:rPr>
      </w:pPr>
      <w:r w:rsidRPr="00514D56">
        <w:rPr>
          <w:rFonts w:ascii="Arial" w:hAnsi="Arial"/>
          <w:b/>
          <w:sz w:val="23"/>
          <w:szCs w:val="23"/>
        </w:rPr>
        <w:t>(4)</w:t>
      </w:r>
      <w:r w:rsidRPr="00B51EF8">
        <w:rPr>
          <w:rFonts w:ascii="Arial" w:hAnsi="Arial"/>
          <w:sz w:val="23"/>
          <w:szCs w:val="23"/>
        </w:rPr>
        <w:t xml:space="preserve"> If your lease allows your landlord to recover costs incurred or that may be incurred in legal proceedings as service charges, you may ask the court or tribunal, before which those proceedings were brought, to rule that your landlord may not do so.</w:t>
      </w:r>
    </w:p>
    <w:p w14:paraId="231B2FCF" w14:textId="77777777" w:rsidR="00DB60FF" w:rsidRPr="00B51EF8" w:rsidRDefault="00DB60FF" w:rsidP="00276BCC">
      <w:pPr>
        <w:jc w:val="both"/>
        <w:rPr>
          <w:rFonts w:ascii="Arial" w:hAnsi="Arial"/>
          <w:sz w:val="23"/>
          <w:szCs w:val="23"/>
        </w:rPr>
      </w:pPr>
      <w:r w:rsidRPr="00514D56">
        <w:rPr>
          <w:rFonts w:ascii="Arial" w:hAnsi="Arial"/>
          <w:b/>
          <w:sz w:val="23"/>
          <w:szCs w:val="23"/>
        </w:rPr>
        <w:t>(5)</w:t>
      </w:r>
      <w:r w:rsidRPr="00B51EF8">
        <w:rPr>
          <w:rFonts w:ascii="Arial" w:hAnsi="Arial"/>
          <w:sz w:val="23"/>
          <w:szCs w:val="23"/>
        </w:rPr>
        <w:t xml:space="preserve"> Where </w:t>
      </w:r>
      <w:r w:rsidR="000C474A" w:rsidRPr="00B51EF8">
        <w:rPr>
          <w:rFonts w:ascii="Arial" w:hAnsi="Arial"/>
          <w:sz w:val="23"/>
          <w:szCs w:val="23"/>
        </w:rPr>
        <w:t>you seek a determination from the First-Tier Tribunal</w:t>
      </w:r>
      <w:r w:rsidRPr="00B51EF8">
        <w:rPr>
          <w:rFonts w:ascii="Arial" w:hAnsi="Arial"/>
          <w:sz w:val="23"/>
          <w:szCs w:val="23"/>
        </w:rPr>
        <w:t>, you will have to pay an application fee and, where the matter proceeds to a</w:t>
      </w:r>
      <w:r w:rsidR="000C474A" w:rsidRPr="00B51EF8">
        <w:rPr>
          <w:rFonts w:ascii="Arial" w:hAnsi="Arial"/>
          <w:sz w:val="23"/>
          <w:szCs w:val="23"/>
        </w:rPr>
        <w:t>n oral</w:t>
      </w:r>
      <w:r w:rsidRPr="00B51EF8">
        <w:rPr>
          <w:rFonts w:ascii="Arial" w:hAnsi="Arial"/>
          <w:sz w:val="23"/>
          <w:szCs w:val="23"/>
        </w:rPr>
        <w:t xml:space="preserve"> hearing, a hearing fee, unless you q</w:t>
      </w:r>
      <w:r w:rsidR="000C474A" w:rsidRPr="00B51EF8">
        <w:rPr>
          <w:rFonts w:ascii="Arial" w:hAnsi="Arial"/>
          <w:sz w:val="23"/>
          <w:szCs w:val="23"/>
        </w:rPr>
        <w:t>ualify for a fee remission or exemption</w:t>
      </w:r>
      <w:r w:rsidRPr="00B51EF8">
        <w:rPr>
          <w:rFonts w:ascii="Arial" w:hAnsi="Arial"/>
          <w:sz w:val="23"/>
          <w:szCs w:val="23"/>
        </w:rPr>
        <w:t xml:space="preserve">. </w:t>
      </w:r>
      <w:r w:rsidR="000C474A" w:rsidRPr="00B51EF8">
        <w:rPr>
          <w:rFonts w:ascii="Arial" w:hAnsi="Arial"/>
          <w:sz w:val="23"/>
          <w:szCs w:val="23"/>
        </w:rPr>
        <w:t xml:space="preserve">Making an application may incur </w:t>
      </w:r>
      <w:r w:rsidRPr="00B51EF8">
        <w:rPr>
          <w:rFonts w:ascii="Arial" w:hAnsi="Arial"/>
          <w:sz w:val="23"/>
          <w:szCs w:val="23"/>
        </w:rPr>
        <w:t>additional costs, such as professional fees, which you may have to pay.</w:t>
      </w:r>
    </w:p>
    <w:p w14:paraId="6505E812" w14:textId="77777777" w:rsidR="00DB60FF" w:rsidRPr="00B51EF8" w:rsidRDefault="00DB60FF" w:rsidP="00276BCC">
      <w:pPr>
        <w:jc w:val="both"/>
        <w:rPr>
          <w:rFonts w:ascii="Arial" w:hAnsi="Arial"/>
          <w:sz w:val="23"/>
          <w:szCs w:val="23"/>
        </w:rPr>
      </w:pPr>
      <w:r w:rsidRPr="00514D56">
        <w:rPr>
          <w:rFonts w:ascii="Arial" w:hAnsi="Arial"/>
          <w:b/>
          <w:sz w:val="23"/>
          <w:szCs w:val="23"/>
        </w:rPr>
        <w:t>(6</w:t>
      </w:r>
      <w:r w:rsidR="000C474A" w:rsidRPr="00514D56">
        <w:rPr>
          <w:rFonts w:ascii="Arial" w:hAnsi="Arial"/>
          <w:b/>
          <w:sz w:val="23"/>
          <w:szCs w:val="23"/>
        </w:rPr>
        <w:t>)</w:t>
      </w:r>
      <w:r w:rsidR="000C474A" w:rsidRPr="00B51EF8">
        <w:rPr>
          <w:rFonts w:ascii="Arial" w:hAnsi="Arial"/>
          <w:sz w:val="23"/>
          <w:szCs w:val="23"/>
        </w:rPr>
        <w:t xml:space="preserve"> The First-Tier Tribunal and the Upper Tribunal (in determining an appeal against a decision of the First-Tier Tribunal) have</w:t>
      </w:r>
      <w:r w:rsidRPr="00B51EF8">
        <w:rPr>
          <w:rFonts w:ascii="Arial" w:hAnsi="Arial"/>
          <w:sz w:val="23"/>
          <w:szCs w:val="23"/>
        </w:rPr>
        <w:t xml:space="preserve"> the power to award costs</w:t>
      </w:r>
      <w:r w:rsidR="000C474A" w:rsidRPr="00B51EF8">
        <w:rPr>
          <w:rFonts w:ascii="Arial" w:hAnsi="Arial"/>
          <w:sz w:val="23"/>
          <w:szCs w:val="23"/>
        </w:rPr>
        <w:t xml:space="preserve"> in accordance with section 29 of the Tribunal, Court and Enforcement Act 2007.</w:t>
      </w:r>
    </w:p>
    <w:p w14:paraId="2EA4EC82" w14:textId="77777777" w:rsidR="00DB60FF" w:rsidRPr="00B51EF8" w:rsidRDefault="0030539F" w:rsidP="00276BCC">
      <w:pPr>
        <w:jc w:val="both"/>
        <w:rPr>
          <w:rFonts w:ascii="Arial" w:hAnsi="Arial"/>
          <w:sz w:val="23"/>
          <w:szCs w:val="23"/>
        </w:rPr>
      </w:pPr>
      <w:r w:rsidRPr="00514D56">
        <w:rPr>
          <w:rFonts w:ascii="Arial" w:hAnsi="Arial"/>
          <w:b/>
          <w:sz w:val="23"/>
          <w:szCs w:val="23"/>
        </w:rPr>
        <w:t>(7)</w:t>
      </w:r>
      <w:r w:rsidRPr="00B51EF8">
        <w:rPr>
          <w:rFonts w:ascii="Arial" w:hAnsi="Arial"/>
          <w:sz w:val="23"/>
          <w:szCs w:val="23"/>
        </w:rPr>
        <w:t xml:space="preserve"> If your landlord </w:t>
      </w:r>
      <w:r w:rsidR="00DB60FF" w:rsidRPr="00B51EF8">
        <w:rPr>
          <w:rFonts w:ascii="Arial" w:hAnsi="Arial"/>
          <w:sz w:val="23"/>
          <w:szCs w:val="23"/>
        </w:rPr>
        <w:t xml:space="preserve"> proposes works on a building or any other premises that will cost you or any other tenant more than £250.00, or proposes to enter into an agreement for works </w:t>
      </w:r>
      <w:r w:rsidR="00DB60FF" w:rsidRPr="00B51EF8">
        <w:rPr>
          <w:rFonts w:ascii="Arial" w:hAnsi="Arial"/>
          <w:sz w:val="23"/>
          <w:szCs w:val="23"/>
        </w:rPr>
        <w:lastRenderedPageBreak/>
        <w:t xml:space="preserve">or services which will last for more than 12 months and will cost you or any other tenant more than £100 in any 12 month accounting period, your contribution will be limited to these amounts unless your landlord has properly consulted on the proposed works or agreement or </w:t>
      </w:r>
      <w:r w:rsidR="000C474A" w:rsidRPr="00B51EF8">
        <w:rPr>
          <w:rFonts w:ascii="Arial" w:hAnsi="Arial"/>
          <w:sz w:val="23"/>
          <w:szCs w:val="23"/>
        </w:rPr>
        <w:t xml:space="preserve">the First-Tier Tribunal </w:t>
      </w:r>
      <w:r w:rsidR="00DB60FF" w:rsidRPr="00B51EF8">
        <w:rPr>
          <w:rFonts w:ascii="Arial" w:hAnsi="Arial"/>
          <w:sz w:val="23"/>
          <w:szCs w:val="23"/>
        </w:rPr>
        <w:t>has agreed that consultation is not required.</w:t>
      </w:r>
    </w:p>
    <w:p w14:paraId="0811F545" w14:textId="77777777" w:rsidR="00DB60FF" w:rsidRPr="00B51EF8" w:rsidRDefault="00DB60FF" w:rsidP="00276BCC">
      <w:pPr>
        <w:jc w:val="both"/>
        <w:rPr>
          <w:rFonts w:ascii="Arial" w:hAnsi="Arial"/>
          <w:sz w:val="23"/>
          <w:szCs w:val="23"/>
        </w:rPr>
      </w:pPr>
      <w:r w:rsidRPr="00514D56">
        <w:rPr>
          <w:rFonts w:ascii="Arial" w:hAnsi="Arial"/>
          <w:b/>
          <w:sz w:val="23"/>
          <w:szCs w:val="23"/>
        </w:rPr>
        <w:t>(8)</w:t>
      </w:r>
      <w:r w:rsidRPr="00B51EF8">
        <w:rPr>
          <w:rFonts w:ascii="Arial" w:hAnsi="Arial"/>
          <w:sz w:val="23"/>
          <w:szCs w:val="23"/>
        </w:rPr>
        <w:t xml:space="preserve"> You  have the right to apply to </w:t>
      </w:r>
      <w:r w:rsidR="000C474A" w:rsidRPr="00B51EF8">
        <w:rPr>
          <w:rFonts w:ascii="Arial" w:hAnsi="Arial"/>
          <w:sz w:val="23"/>
          <w:szCs w:val="23"/>
        </w:rPr>
        <w:t>the First-Tier Tribunal</w:t>
      </w:r>
      <w:r w:rsidRPr="00B51EF8">
        <w:rPr>
          <w:rFonts w:ascii="Arial" w:hAnsi="Arial"/>
          <w:sz w:val="23"/>
          <w:szCs w:val="23"/>
        </w:rPr>
        <w:t xml:space="preserve"> to ask it to determine whether your lease should be varied on the grounds that is does not make satisfactory provision in respect of the calculation of a service charge payable under the lease.</w:t>
      </w:r>
    </w:p>
    <w:p w14:paraId="33FB1AD4" w14:textId="77777777" w:rsidR="00DB60FF" w:rsidRPr="00B51EF8" w:rsidRDefault="00DB60FF" w:rsidP="00276BCC">
      <w:pPr>
        <w:jc w:val="both"/>
        <w:rPr>
          <w:rFonts w:ascii="Arial" w:hAnsi="Arial"/>
          <w:sz w:val="23"/>
          <w:szCs w:val="23"/>
        </w:rPr>
      </w:pPr>
      <w:r w:rsidRPr="00514D56">
        <w:rPr>
          <w:rFonts w:ascii="Arial" w:hAnsi="Arial"/>
          <w:b/>
          <w:sz w:val="23"/>
          <w:szCs w:val="23"/>
        </w:rPr>
        <w:t>(9)</w:t>
      </w:r>
      <w:r w:rsidRPr="00B51EF8">
        <w:rPr>
          <w:rFonts w:ascii="Arial" w:hAnsi="Arial"/>
          <w:sz w:val="23"/>
          <w:szCs w:val="23"/>
        </w:rPr>
        <w:t xml:space="preserve"> You have the right to write to your landlord to request a written summary of the costs which make up the servi</w:t>
      </w:r>
      <w:r w:rsidR="0030539F" w:rsidRPr="00B51EF8">
        <w:rPr>
          <w:rFonts w:ascii="Arial" w:hAnsi="Arial"/>
          <w:sz w:val="23"/>
          <w:szCs w:val="23"/>
        </w:rPr>
        <w:t xml:space="preserve">ce charges.  The summary must </w:t>
      </w:r>
      <w:r w:rsidRPr="00B51EF8">
        <w:rPr>
          <w:rFonts w:ascii="Arial" w:hAnsi="Arial"/>
          <w:sz w:val="23"/>
          <w:szCs w:val="23"/>
        </w:rPr>
        <w:t xml:space="preserve">cover the last 12 month period used for making up the accounts relating to the service charge ending no later </w:t>
      </w:r>
      <w:proofErr w:type="spellStart"/>
      <w:r w:rsidRPr="00B51EF8">
        <w:rPr>
          <w:rFonts w:ascii="Arial" w:hAnsi="Arial"/>
          <w:sz w:val="23"/>
          <w:szCs w:val="23"/>
        </w:rPr>
        <w:t>that</w:t>
      </w:r>
      <w:proofErr w:type="spellEnd"/>
      <w:r w:rsidRPr="00B51EF8">
        <w:rPr>
          <w:rFonts w:ascii="Arial" w:hAnsi="Arial"/>
          <w:sz w:val="23"/>
          <w:szCs w:val="23"/>
        </w:rPr>
        <w:t xml:space="preserve"> the date of your request, where the accounts are made up for 12 month periods; or cover the 12 month period ending with the date of your request, where the accounts are not made up for 12 month periods.  The summary must be given to you within 1 month of your request or 6 months of the end of the period to which the summary relates whichever is the later.</w:t>
      </w:r>
    </w:p>
    <w:p w14:paraId="43410AC9" w14:textId="77777777" w:rsidR="00DB60FF" w:rsidRPr="00B51EF8" w:rsidRDefault="00DB60FF" w:rsidP="00276BCC">
      <w:pPr>
        <w:jc w:val="both"/>
        <w:rPr>
          <w:rFonts w:ascii="Arial" w:hAnsi="Arial"/>
          <w:sz w:val="23"/>
          <w:szCs w:val="23"/>
        </w:rPr>
      </w:pPr>
      <w:r w:rsidRPr="00514D56">
        <w:rPr>
          <w:rFonts w:ascii="Arial" w:hAnsi="Arial"/>
          <w:b/>
          <w:sz w:val="23"/>
          <w:szCs w:val="23"/>
        </w:rPr>
        <w:t>(10)</w:t>
      </w:r>
      <w:r w:rsidRPr="00B51EF8">
        <w:rPr>
          <w:rFonts w:ascii="Arial" w:hAnsi="Arial"/>
          <w:sz w:val="23"/>
          <w:szCs w:val="23"/>
        </w:rPr>
        <w:t xml:space="preserve"> You have the right, within 6 months of receiving a written summary of costs, to require the landlord to provide you with </w:t>
      </w:r>
      <w:r w:rsidRPr="00B51EF8">
        <w:rPr>
          <w:rFonts w:ascii="Arial" w:hAnsi="Arial"/>
          <w:sz w:val="23"/>
          <w:szCs w:val="23"/>
        </w:rPr>
        <w:lastRenderedPageBreak/>
        <w:t>reasonable facilities to inspect the accounts, receipts and other documents supporting the summary and for taking copies or extracts from them.</w:t>
      </w:r>
    </w:p>
    <w:p w14:paraId="31479DB5" w14:textId="77777777" w:rsidR="00DB60FF" w:rsidRPr="00B51EF8" w:rsidRDefault="00DB60FF" w:rsidP="00276BCC">
      <w:pPr>
        <w:jc w:val="both"/>
        <w:rPr>
          <w:rFonts w:ascii="Arial" w:hAnsi="Arial"/>
          <w:sz w:val="23"/>
          <w:szCs w:val="23"/>
        </w:rPr>
      </w:pPr>
      <w:r w:rsidRPr="00514D56">
        <w:rPr>
          <w:rFonts w:ascii="Arial" w:hAnsi="Arial"/>
          <w:b/>
          <w:sz w:val="23"/>
          <w:szCs w:val="23"/>
        </w:rPr>
        <w:t>(11)</w:t>
      </w:r>
      <w:r w:rsidRPr="00B51EF8">
        <w:rPr>
          <w:rFonts w:ascii="Arial" w:hAnsi="Arial"/>
          <w:sz w:val="23"/>
          <w:szCs w:val="23"/>
        </w:rPr>
        <w:t xml:space="preserve"> You have the right to ask an accountant or surveyor to carry out an audit of the financial management of the premise containing your dwelling, to establish the obligations of your landlord and the extent to which the service charges you pay are being used efficiently.  It will depend on your circumstances whether you can exercise this right alone or only with the support of others living in the premises.  You are strongly advised to seek independent advice before exercising this right.</w:t>
      </w:r>
    </w:p>
    <w:p w14:paraId="2379F6AE" w14:textId="77777777" w:rsidR="003075AA" w:rsidRPr="003075AA" w:rsidRDefault="00DB60FF" w:rsidP="00B51EF8">
      <w:pPr>
        <w:jc w:val="both"/>
      </w:pPr>
      <w:r w:rsidRPr="00514D56">
        <w:rPr>
          <w:rFonts w:ascii="Arial" w:hAnsi="Arial"/>
          <w:b/>
          <w:sz w:val="23"/>
          <w:szCs w:val="23"/>
        </w:rPr>
        <w:t>(12)</w:t>
      </w:r>
      <w:r w:rsidRPr="00B51EF8">
        <w:rPr>
          <w:rFonts w:ascii="Arial" w:hAnsi="Arial"/>
          <w:sz w:val="23"/>
          <w:szCs w:val="23"/>
        </w:rPr>
        <w:t xml:space="preserve"> Your lease may give your landlord a right of re-entry or forfeiture where you have failed to pay charges which are properly due under the lease.  However, to exercise this right, the landlord must meet all the legal requirements and obtain a court order.  A court order will only be granted if you have admitted you are liable to pay the amount or it is finally determined by a court, tribunal or by arbitration that the amount is due.  The court has a wide discretion in granting such an order and it will take into account all the circumstances of the case.</w:t>
      </w:r>
    </w:p>
    <w:sectPr w:rsidR="003075AA" w:rsidRPr="003075AA" w:rsidSect="00B51EF8">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D709B" w14:textId="77777777" w:rsidR="00066679" w:rsidRDefault="00066679" w:rsidP="00F836A7">
      <w:r>
        <w:separator/>
      </w:r>
    </w:p>
  </w:endnote>
  <w:endnote w:type="continuationSeparator" w:id="0">
    <w:p w14:paraId="4B62560E" w14:textId="77777777" w:rsidR="00066679" w:rsidRDefault="00066679"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72" w14:textId="77777777" w:rsidR="00294589" w:rsidRPr="00CF0773" w:rsidRDefault="00294589" w:rsidP="003565DC">
    <w:pPr>
      <w:pStyle w:val="Footer"/>
    </w:pPr>
  </w:p>
  <w:p w14:paraId="74E466AB" w14:textId="77777777" w:rsidR="00294589" w:rsidRDefault="0029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099B" w14:textId="77777777" w:rsidR="00066679" w:rsidRDefault="00066679" w:rsidP="00F836A7">
      <w:r>
        <w:separator/>
      </w:r>
    </w:p>
  </w:footnote>
  <w:footnote w:type="continuationSeparator" w:id="0">
    <w:p w14:paraId="6F15D11E" w14:textId="77777777" w:rsidR="00066679" w:rsidRDefault="00066679" w:rsidP="00F8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FF"/>
    <w:rsid w:val="000121A1"/>
    <w:rsid w:val="000474D2"/>
    <w:rsid w:val="0006392E"/>
    <w:rsid w:val="00066679"/>
    <w:rsid w:val="0009273B"/>
    <w:rsid w:val="000A1F1F"/>
    <w:rsid w:val="000A24BC"/>
    <w:rsid w:val="000A7D9E"/>
    <w:rsid w:val="000B016F"/>
    <w:rsid w:val="000C474A"/>
    <w:rsid w:val="000D115E"/>
    <w:rsid w:val="000F0791"/>
    <w:rsid w:val="000F7678"/>
    <w:rsid w:val="00100B2C"/>
    <w:rsid w:val="00147625"/>
    <w:rsid w:val="00153D7A"/>
    <w:rsid w:val="00160F2D"/>
    <w:rsid w:val="00171228"/>
    <w:rsid w:val="001953E8"/>
    <w:rsid w:val="001B2BB4"/>
    <w:rsid w:val="00264542"/>
    <w:rsid w:val="00264D6F"/>
    <w:rsid w:val="00276BCC"/>
    <w:rsid w:val="0028112F"/>
    <w:rsid w:val="002849A9"/>
    <w:rsid w:val="00294589"/>
    <w:rsid w:val="002E42CE"/>
    <w:rsid w:val="002E564C"/>
    <w:rsid w:val="002F21E2"/>
    <w:rsid w:val="0030539F"/>
    <w:rsid w:val="003075AA"/>
    <w:rsid w:val="00313172"/>
    <w:rsid w:val="003244C7"/>
    <w:rsid w:val="00327346"/>
    <w:rsid w:val="00334584"/>
    <w:rsid w:val="003565DC"/>
    <w:rsid w:val="003B30A3"/>
    <w:rsid w:val="003F3B16"/>
    <w:rsid w:val="00404E4F"/>
    <w:rsid w:val="00427902"/>
    <w:rsid w:val="0043602B"/>
    <w:rsid w:val="004363FB"/>
    <w:rsid w:val="004370D7"/>
    <w:rsid w:val="0044483E"/>
    <w:rsid w:val="004812FB"/>
    <w:rsid w:val="004946A2"/>
    <w:rsid w:val="004A02DC"/>
    <w:rsid w:val="004D15C8"/>
    <w:rsid w:val="004E4511"/>
    <w:rsid w:val="0050051D"/>
    <w:rsid w:val="0050613D"/>
    <w:rsid w:val="00514D56"/>
    <w:rsid w:val="005233D0"/>
    <w:rsid w:val="00527F32"/>
    <w:rsid w:val="005340A3"/>
    <w:rsid w:val="005378E5"/>
    <w:rsid w:val="00541B7B"/>
    <w:rsid w:val="0057015A"/>
    <w:rsid w:val="00581B9C"/>
    <w:rsid w:val="0058315F"/>
    <w:rsid w:val="005869A0"/>
    <w:rsid w:val="005961FA"/>
    <w:rsid w:val="005D626A"/>
    <w:rsid w:val="005D77AB"/>
    <w:rsid w:val="005E167B"/>
    <w:rsid w:val="005F0680"/>
    <w:rsid w:val="006069BF"/>
    <w:rsid w:val="00641E45"/>
    <w:rsid w:val="00646C4E"/>
    <w:rsid w:val="00661FAB"/>
    <w:rsid w:val="006A4F03"/>
    <w:rsid w:val="006C1342"/>
    <w:rsid w:val="006C3BC6"/>
    <w:rsid w:val="006F1CED"/>
    <w:rsid w:val="006F7AC4"/>
    <w:rsid w:val="00710F32"/>
    <w:rsid w:val="007144C7"/>
    <w:rsid w:val="0076251F"/>
    <w:rsid w:val="0076478A"/>
    <w:rsid w:val="007B0193"/>
    <w:rsid w:val="007D4F3A"/>
    <w:rsid w:val="007E4826"/>
    <w:rsid w:val="007F1975"/>
    <w:rsid w:val="0080008B"/>
    <w:rsid w:val="00806C25"/>
    <w:rsid w:val="008165C4"/>
    <w:rsid w:val="00835CD6"/>
    <w:rsid w:val="008456FD"/>
    <w:rsid w:val="00860753"/>
    <w:rsid w:val="008A1D5C"/>
    <w:rsid w:val="008A4679"/>
    <w:rsid w:val="008D2867"/>
    <w:rsid w:val="008F24E0"/>
    <w:rsid w:val="00900F1D"/>
    <w:rsid w:val="00906BD3"/>
    <w:rsid w:val="00921D1F"/>
    <w:rsid w:val="00923444"/>
    <w:rsid w:val="00952C9F"/>
    <w:rsid w:val="0097480A"/>
    <w:rsid w:val="009A2F38"/>
    <w:rsid w:val="009B6568"/>
    <w:rsid w:val="009B7528"/>
    <w:rsid w:val="009F6E1B"/>
    <w:rsid w:val="00A178CC"/>
    <w:rsid w:val="00A24BFC"/>
    <w:rsid w:val="00A2732C"/>
    <w:rsid w:val="00A33D34"/>
    <w:rsid w:val="00A45210"/>
    <w:rsid w:val="00A54D89"/>
    <w:rsid w:val="00A814B7"/>
    <w:rsid w:val="00AD58EE"/>
    <w:rsid w:val="00AD6DF7"/>
    <w:rsid w:val="00AE7A10"/>
    <w:rsid w:val="00AF0A08"/>
    <w:rsid w:val="00AF0EA0"/>
    <w:rsid w:val="00AF7683"/>
    <w:rsid w:val="00B2233C"/>
    <w:rsid w:val="00B25757"/>
    <w:rsid w:val="00B25830"/>
    <w:rsid w:val="00B36F69"/>
    <w:rsid w:val="00B43965"/>
    <w:rsid w:val="00B47EBE"/>
    <w:rsid w:val="00B51EF8"/>
    <w:rsid w:val="00BC0A4C"/>
    <w:rsid w:val="00BC42EB"/>
    <w:rsid w:val="00BE134A"/>
    <w:rsid w:val="00BE7B9A"/>
    <w:rsid w:val="00BF0B3A"/>
    <w:rsid w:val="00BF35BE"/>
    <w:rsid w:val="00C06EE3"/>
    <w:rsid w:val="00C1228F"/>
    <w:rsid w:val="00C15F1F"/>
    <w:rsid w:val="00C1674A"/>
    <w:rsid w:val="00C2067E"/>
    <w:rsid w:val="00C27C45"/>
    <w:rsid w:val="00C371F0"/>
    <w:rsid w:val="00C42012"/>
    <w:rsid w:val="00C7028F"/>
    <w:rsid w:val="00C76285"/>
    <w:rsid w:val="00C80230"/>
    <w:rsid w:val="00CC641A"/>
    <w:rsid w:val="00CF2E6C"/>
    <w:rsid w:val="00D253FC"/>
    <w:rsid w:val="00D55861"/>
    <w:rsid w:val="00D92410"/>
    <w:rsid w:val="00D924ED"/>
    <w:rsid w:val="00DB60FF"/>
    <w:rsid w:val="00E219C3"/>
    <w:rsid w:val="00E36136"/>
    <w:rsid w:val="00E75549"/>
    <w:rsid w:val="00EA6811"/>
    <w:rsid w:val="00EC5C66"/>
    <w:rsid w:val="00ED6843"/>
    <w:rsid w:val="00EF36F0"/>
    <w:rsid w:val="00F51A25"/>
    <w:rsid w:val="00F67FDA"/>
    <w:rsid w:val="00F75524"/>
    <w:rsid w:val="00F836A7"/>
    <w:rsid w:val="00F87644"/>
    <w:rsid w:val="00F93DA1"/>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383E8"/>
  <w15:docId w15:val="{3C725A35-04CB-421C-81A8-D212AF9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FF"/>
    <w:pPr>
      <w:overflowPunct w:val="0"/>
      <w:autoSpaceDE w:val="0"/>
      <w:autoSpaceDN w:val="0"/>
      <w:adjustRightInd w:val="0"/>
      <w:jc w:val="left"/>
      <w:textAlignment w:val="baseline"/>
    </w:pPr>
    <w:rPr>
      <w:rFonts w:ascii="Times New Roman" w:eastAsia="Times New Roman" w:hAnsi="Times New Roman" w:cs="Times New Roman"/>
      <w:sz w:val="20"/>
      <w:szCs w:val="20"/>
      <w:lang w:val="en-US" w:eastAsia="en-GB"/>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overflowPunct/>
      <w:autoSpaceDE/>
      <w:autoSpaceDN/>
      <w:adjustRightInd/>
      <w:spacing w:before="200"/>
      <w:jc w:val="both"/>
      <w:textAlignment w:val="auto"/>
      <w:outlineLvl w:val="1"/>
    </w:pPr>
    <w:rPr>
      <w:rFonts w:asciiTheme="majorHAnsi" w:eastAsiaTheme="majorEastAsia" w:hAnsiTheme="majorHAnsi" w:cstheme="majorBidi"/>
      <w:b/>
      <w:bCs/>
      <w:color w:val="0000FF" w:themeColor="accent1"/>
      <w:sz w:val="26"/>
      <w:szCs w:val="26"/>
      <w:lang w:val="en-GB" w:eastAsia="en-US"/>
    </w:rPr>
  </w:style>
  <w:style w:type="paragraph" w:styleId="Heading3">
    <w:name w:val="heading 3"/>
    <w:basedOn w:val="Normal"/>
    <w:next w:val="Normal"/>
    <w:link w:val="Heading3Char"/>
    <w:uiPriority w:val="9"/>
    <w:semiHidden/>
    <w:qFormat/>
    <w:rsid w:val="002E42CE"/>
    <w:pPr>
      <w:keepNext/>
      <w:keepLines/>
      <w:overflowPunct/>
      <w:autoSpaceDE/>
      <w:autoSpaceDN/>
      <w:adjustRightInd/>
      <w:spacing w:before="200"/>
      <w:jc w:val="both"/>
      <w:textAlignment w:val="auto"/>
      <w:outlineLvl w:val="2"/>
    </w:pPr>
    <w:rPr>
      <w:rFonts w:asciiTheme="majorHAnsi" w:eastAsiaTheme="majorEastAsia" w:hAnsiTheme="majorHAnsi" w:cstheme="majorBidi"/>
      <w:b/>
      <w:bCs/>
      <w:color w:val="0000FF" w:themeColor="accent1"/>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overflowPunct/>
      <w:autoSpaceDE/>
      <w:autoSpaceDN/>
      <w:adjustRightInd/>
      <w:ind w:left="720"/>
      <w:contextualSpacing/>
      <w:jc w:val="both"/>
      <w:textAlignment w:val="auto"/>
    </w:pPr>
    <w:rPr>
      <w:rFonts w:ascii="Arial" w:eastAsiaTheme="minorHAnsi" w:hAnsi="Arial" w:cstheme="minorBidi"/>
      <w:szCs w:val="22"/>
      <w:lang w:val="en-GB" w:eastAsia="en-US"/>
    </w:r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pPr>
      <w:overflowPunct/>
      <w:autoSpaceDE/>
      <w:autoSpaceDN/>
      <w:adjustRightInd/>
      <w:jc w:val="both"/>
      <w:textAlignment w:val="auto"/>
    </w:pPr>
    <w:rPr>
      <w:rFonts w:ascii="Arial" w:eastAsiaTheme="minorHAnsi" w:hAnsi="Arial" w:cstheme="minorBidi"/>
      <w:lang w:val="en-GB" w:eastAsia="en-US"/>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pPr>
      <w:overflowPunct/>
      <w:autoSpaceDE/>
      <w:autoSpaceDN/>
      <w:adjustRightInd/>
      <w:jc w:val="both"/>
      <w:textAlignment w:val="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ProtectiveClassification xmlns="047e10c6-5721-4b60-bdb8-d6cce090ce97">NOT CLASSIFIED</ProtectiveClassification>
    <DocumentDescription xmlns="047e10c6-5721-4b60-bdb8-d6cce090ce97" xsi:nil="true"/>
    <TaxKeywordTaxHTField xmlns="e4ee1351-6712-4df0-b39f-026aba693b5d">
      <Terms xmlns="http://schemas.microsoft.com/office/infopath/2007/PartnerControls"/>
    </TaxKeywordTaxHTField>
    <TaxCatchAll xmlns="e4ee1351-6712-4df0-b39f-026aba693b5d">
      <Value>330</Value>
    </TaxCatchAll>
    <DocumentAuthor xmlns="047e10c6-5721-4b60-bdb8-d6cce090ce97">
      <UserInfo>
        <DisplayName>Ibbott, Carole</DisplayName>
        <AccountId>140</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Leasehold Services</TermName>
          <TermId xmlns="http://schemas.microsoft.com/office/infopath/2007/PartnerControls">e78b2107-17ae-406d-9532-3aa199003ccc</TermId>
        </TermInfo>
      </Terms>
    </febcb389c47c4530afe6acfa103de16c>
    <Template_x0020_Type xmlns="a53564e9-eb87-4fe7-a503-00555842cc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03969C0B9BCB4193C45BC6DCC07918" ma:contentTypeVersion="6" ma:contentTypeDescription="Create a new document." ma:contentTypeScope="" ma:versionID="933f49ddd0aad4d368079254168d8806">
  <xsd:schema xmlns:xsd="http://www.w3.org/2001/XMLSchema" xmlns:xs="http://www.w3.org/2001/XMLSchema" xmlns:p="http://schemas.microsoft.com/office/2006/metadata/properties" xmlns:ns2="047e10c6-5721-4b60-bdb8-d6cce090ce97" xmlns:ns3="e4ee1351-6712-4df0-b39f-026aba693b5d" xmlns:ns4="299e9bb1-c380-4086-bad8-d8471915ec23" xmlns:ns5="a53564e9-eb87-4fe7-a503-00555842cc39" targetNamespace="http://schemas.microsoft.com/office/2006/metadata/properties" ma:root="true" ma:fieldsID="b30c335b10bf331044e40d19dbee4fab" ns2:_="" ns3:_="" ns4:_="" ns5:_="">
    <xsd:import namespace="047e10c6-5721-4b60-bdb8-d6cce090ce97"/>
    <xsd:import namespace="e4ee1351-6712-4df0-b39f-026aba693b5d"/>
    <xsd:import namespace="299e9bb1-c380-4086-bad8-d8471915ec23"/>
    <xsd:import namespace="a53564e9-eb87-4fe7-a503-00555842cc39"/>
    <xsd:element name="properties">
      <xsd:complexType>
        <xsd:sequence>
          <xsd:element name="documentManagement">
            <xsd:complexType>
              <xsd:all>
                <xsd:element ref="ns2:DocumentDescription" minOccurs="0"/>
                <xsd:element ref="ns2:DocumentAuthor" minOccurs="0"/>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5: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e10c6-5721-4b60-bdb8-d6cce090ce97"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dexed="true" ma:internalName="ProtectiveClassification">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e015350-3047-4ac6-af90-1a4ae370d250}" ma:internalName="TaxCatchAll" ma:showField="CatchAllData" ma:web="047e10c6-5721-4b60-bdb8-d6cce090ce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6e015350-3047-4ac6-af90-1a4ae370d250}" ma:internalName="TaxCatchAllLabel" ma:readOnly="true" ma:showField="CatchAllDataLabel" ma:web="047e10c6-5721-4b60-bdb8-d6cce090ce9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indexed="tru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indexed="true"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564e9-eb87-4fe7-a503-00555842cc39" elementFormDefault="qualified">
    <xsd:import namespace="http://schemas.microsoft.com/office/2006/documentManagement/types"/>
    <xsd:import namespace="http://schemas.microsoft.com/office/infopath/2007/PartnerControls"/>
    <xsd:element name="Template_x0020_Type" ma:index="19" ma:displayName="Template Type" ma:format="Dropdown" ma:indexed="true" ma:internalName="Template_x0020_Type">
      <xsd:simpleType>
        <xsd:restriction base="dms:Choice">
          <xsd:enumeration value="Arrears/Money"/>
          <xsd:enumeration value="Assignment"/>
          <xsd:enumeration value="Direct Debit"/>
          <xsd:enumeration value="Legal"/>
          <xsd:enumeration value="Major works"/>
          <xsd:enumeration value="RTB"/>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167B522-F34F-463F-8606-2F54814B00E5}"/>
</file>

<file path=customXml/itemProps2.xml><?xml version="1.0" encoding="utf-8"?>
<ds:datastoreItem xmlns:ds="http://schemas.openxmlformats.org/officeDocument/2006/customXml" ds:itemID="{A0F08551-1B06-4E42-9E35-8B2DF76817B5}"/>
</file>

<file path=customXml/itemProps3.xml><?xml version="1.0" encoding="utf-8"?>
<ds:datastoreItem xmlns:ds="http://schemas.openxmlformats.org/officeDocument/2006/customXml" ds:itemID="{4A09D6A8-5D42-4C70-BBF5-5172DCB919AF}"/>
</file>

<file path=customXml/itemProps4.xml><?xml version="1.0" encoding="utf-8"?>
<ds:datastoreItem xmlns:ds="http://schemas.openxmlformats.org/officeDocument/2006/customXml" ds:itemID="{D0175FD3-A19B-4F12-B28F-1914E3B7BF2C}"/>
</file>

<file path=customXml/itemProps5.xml><?xml version="1.0" encoding="utf-8"?>
<ds:datastoreItem xmlns:ds="http://schemas.openxmlformats.org/officeDocument/2006/customXml" ds:itemID="{23BC6720-881B-467F-8064-19A15C4FA9D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Summary of Rights 2013</vt:lpstr>
    </vt:vector>
  </TitlesOfParts>
  <Company>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Rights 2013</dc:title>
  <dc:subject>
  </dc:subject>
  <dc:creator>Marcia Vernon-Ellington</dc:creator>
  <cp:keywords/>
  <dc:description>
  </dc:description>
  <cp:lastModifiedBy>Huntley, Vanessa</cp:lastModifiedBy>
  <cp:revision>2</cp:revision>
  <cp:lastPrinted>2017-01-11T13:31:00Z</cp:lastPrinted>
  <dcterms:created xsi:type="dcterms:W3CDTF">2019-04-03T10:17:00Z</dcterms:created>
  <dcterms:modified xsi:type="dcterms:W3CDTF">2019-04-03T10:17:00Z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0x0101004303969C0B9BCB4193C45BC6DCC07918</vt:lpwstr>
  </property>
  <property fmtid="{D5CDD505-2E9C-101B-9397-08002B2CF9AE}" pid="3" name="TaxKeyword">
    <vt:lpwstr/>
  </property>
  <property fmtid="{D5CDD505-2E9C-101B-9397-08002B2CF9AE}" pid="4" name="OrganisationalUnit">
    <vt:lpwstr>330;#Leasehold Services|e78b2107-17ae-406d-9532-3aa199003ccc</vt:lpwstr>
  </property>
</Properties>
</file>