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363" w:rsidRDefault="00B90363">
      <w:pPr>
        <w:pStyle w:val="BodyText"/>
        <w:ind w:left="4348"/>
        <w:rPr>
          <w:rFonts w:ascii="Times New Roman"/>
          <w:sz w:val="20"/>
        </w:rPr>
      </w:pPr>
    </w:p>
    <w:p w:rsidR="00B90363" w:rsidRDefault="00B90363">
      <w:pPr>
        <w:pStyle w:val="BodyText"/>
        <w:rPr>
          <w:rFonts w:ascii="Times New Roman"/>
          <w:sz w:val="20"/>
        </w:rPr>
      </w:pPr>
    </w:p>
    <w:p w:rsidR="00B90363" w:rsidRDefault="00F30724" w:rsidP="00F30724">
      <w:pPr>
        <w:pStyle w:val="BodyText"/>
        <w:jc w:val="right"/>
        <w:rPr>
          <w:rFonts w:ascii="Times New Roman"/>
          <w:sz w:val="20"/>
        </w:rPr>
      </w:pPr>
      <w:r>
        <w:rPr>
          <w:rFonts w:ascii="Helvetica" w:hAnsi="Helvetica" w:cs="Helvetica"/>
          <w:noProof/>
          <w:color w:val="000000"/>
          <w:sz w:val="18"/>
          <w:szCs w:val="18"/>
          <w:lang w:bidi="ar-SA"/>
        </w:rPr>
        <w:drawing>
          <wp:inline distT="0" distB="0" distL="0" distR="0">
            <wp:extent cx="2847975" cy="466725"/>
            <wp:effectExtent l="0" t="0" r="9525" b="9525"/>
            <wp:docPr id="84" name="Picture 84" descr="cid:995D36CC-63D9-452C-921A-47E295D9BC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95D36CC-63D9-452C-921A-47E295D9BC0F"/>
                    <pic:cNvPicPr>
                      <a:picLocks noChangeAspect="1" noChangeArrowheads="1"/>
                    </pic:cNvPicPr>
                  </pic:nvPicPr>
                  <pic:blipFill>
                    <a:blip r:embed="rId8"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847975" cy="466725"/>
                    </a:xfrm>
                    <a:prstGeom prst="rect">
                      <a:avLst/>
                    </a:prstGeom>
                    <a:noFill/>
                    <a:ln>
                      <a:noFill/>
                    </a:ln>
                  </pic:spPr>
                </pic:pic>
              </a:graphicData>
            </a:graphic>
          </wp:inline>
        </w:drawing>
      </w:r>
    </w:p>
    <w:p w:rsidR="00B90363" w:rsidRDefault="00B90363">
      <w:pPr>
        <w:pStyle w:val="BodyText"/>
        <w:rPr>
          <w:rFonts w:ascii="Times New Roman"/>
          <w:sz w:val="20"/>
        </w:rPr>
      </w:pPr>
    </w:p>
    <w:p w:rsidR="00B90363" w:rsidRDefault="00B90363">
      <w:pPr>
        <w:pStyle w:val="BodyText"/>
        <w:rPr>
          <w:rFonts w:ascii="Times New Roman"/>
          <w:sz w:val="25"/>
        </w:rPr>
      </w:pPr>
    </w:p>
    <w:p w:rsidR="0092735E" w:rsidRDefault="0092735E">
      <w:pPr>
        <w:pStyle w:val="BodyText"/>
        <w:rPr>
          <w:rFonts w:ascii="Times New Roman"/>
          <w:sz w:val="25"/>
        </w:rPr>
      </w:pPr>
    </w:p>
    <w:p w:rsidR="0092735E" w:rsidRDefault="0092735E">
      <w:pPr>
        <w:pStyle w:val="BodyText"/>
        <w:rPr>
          <w:rFonts w:ascii="Times New Roman"/>
          <w:sz w:val="25"/>
        </w:rPr>
      </w:pPr>
    </w:p>
    <w:p w:rsidR="0092735E" w:rsidRDefault="0092735E">
      <w:pPr>
        <w:pStyle w:val="BodyText"/>
        <w:rPr>
          <w:rFonts w:ascii="Times New Roman"/>
          <w:sz w:val="25"/>
        </w:rPr>
      </w:pPr>
    </w:p>
    <w:p w:rsidR="0092735E" w:rsidRDefault="0092735E">
      <w:pPr>
        <w:pStyle w:val="BodyText"/>
        <w:rPr>
          <w:rFonts w:ascii="Times New Roman"/>
          <w:sz w:val="25"/>
        </w:rPr>
      </w:pPr>
    </w:p>
    <w:p w:rsidR="0092735E" w:rsidRDefault="0092735E">
      <w:pPr>
        <w:pStyle w:val="BodyText"/>
        <w:rPr>
          <w:rFonts w:ascii="Times New Roman"/>
          <w:sz w:val="25"/>
        </w:rPr>
      </w:pPr>
    </w:p>
    <w:p w:rsidR="0092735E" w:rsidRDefault="0092735E">
      <w:pPr>
        <w:pStyle w:val="BodyText"/>
        <w:rPr>
          <w:rFonts w:ascii="Times New Roman"/>
          <w:sz w:val="25"/>
        </w:rPr>
      </w:pPr>
    </w:p>
    <w:p w:rsidR="0092735E" w:rsidRDefault="0092735E">
      <w:pPr>
        <w:pStyle w:val="BodyText"/>
        <w:rPr>
          <w:rFonts w:ascii="Times New Roman"/>
          <w:sz w:val="25"/>
        </w:rPr>
      </w:pPr>
    </w:p>
    <w:p w:rsidR="0092735E" w:rsidRDefault="0092735E">
      <w:pPr>
        <w:pStyle w:val="BodyText"/>
        <w:rPr>
          <w:rFonts w:ascii="Times New Roman"/>
          <w:sz w:val="25"/>
        </w:rPr>
      </w:pPr>
    </w:p>
    <w:p w:rsidR="00B90363" w:rsidRDefault="007D2DF1">
      <w:pPr>
        <w:pStyle w:val="Heading1"/>
        <w:spacing w:before="305" w:line="247" w:lineRule="auto"/>
      </w:pPr>
      <w:r>
        <w:rPr>
          <w:color w:val="001F5F"/>
        </w:rPr>
        <w:t xml:space="preserve">Managing DNA (Did Not Attend) </w:t>
      </w:r>
      <w:r>
        <w:rPr>
          <w:color w:val="001F5F"/>
          <w:spacing w:val="-6"/>
        </w:rPr>
        <w:t xml:space="preserve">and </w:t>
      </w:r>
      <w:r>
        <w:rPr>
          <w:color w:val="001F5F"/>
        </w:rPr>
        <w:t>Cancelled</w:t>
      </w:r>
      <w:r>
        <w:rPr>
          <w:color w:val="001F5F"/>
          <w:spacing w:val="-57"/>
        </w:rPr>
        <w:t xml:space="preserve"> </w:t>
      </w:r>
      <w:r>
        <w:rPr>
          <w:color w:val="001F5F"/>
        </w:rPr>
        <w:t>Appointments</w:t>
      </w:r>
      <w:r>
        <w:rPr>
          <w:color w:val="001F5F"/>
          <w:spacing w:val="-54"/>
        </w:rPr>
        <w:t xml:space="preserve"> </w:t>
      </w:r>
      <w:r>
        <w:rPr>
          <w:color w:val="001F5F"/>
          <w:spacing w:val="-3"/>
        </w:rPr>
        <w:t>Procedure</w:t>
      </w:r>
    </w:p>
    <w:p w:rsidR="00B90363" w:rsidRDefault="00B90363">
      <w:pPr>
        <w:pStyle w:val="BodyText"/>
        <w:rPr>
          <w:b/>
          <w:sz w:val="20"/>
        </w:rPr>
      </w:pPr>
    </w:p>
    <w:p w:rsidR="00B90363" w:rsidRDefault="00B90363">
      <w:pPr>
        <w:pStyle w:val="BodyText"/>
        <w:rPr>
          <w:b/>
          <w:sz w:val="20"/>
        </w:rPr>
      </w:pPr>
    </w:p>
    <w:p w:rsidR="00B90363" w:rsidRDefault="00B90363">
      <w:pPr>
        <w:pStyle w:val="BodyText"/>
        <w:rPr>
          <w:b/>
          <w:sz w:val="20"/>
        </w:rPr>
      </w:pPr>
    </w:p>
    <w:p w:rsidR="00B90363" w:rsidRDefault="00B90363">
      <w:pPr>
        <w:pStyle w:val="BodyText"/>
        <w:rPr>
          <w:b/>
          <w:sz w:val="20"/>
        </w:rPr>
      </w:pPr>
    </w:p>
    <w:p w:rsidR="00B90363" w:rsidRDefault="00B90363">
      <w:pPr>
        <w:pStyle w:val="BodyText"/>
        <w:rPr>
          <w:b/>
          <w:sz w:val="20"/>
        </w:rPr>
      </w:pPr>
    </w:p>
    <w:p w:rsidR="00B90363" w:rsidRDefault="00B90363">
      <w:pPr>
        <w:pStyle w:val="BodyText"/>
        <w:rPr>
          <w:b/>
          <w:sz w:val="20"/>
        </w:rPr>
      </w:pPr>
    </w:p>
    <w:p w:rsidR="00B90363" w:rsidRDefault="00B90363">
      <w:pPr>
        <w:pStyle w:val="BodyText"/>
        <w:rPr>
          <w:b/>
          <w:sz w:val="20"/>
        </w:rPr>
      </w:pPr>
    </w:p>
    <w:p w:rsidR="00B90363" w:rsidRDefault="00B90363">
      <w:pPr>
        <w:rPr>
          <w:sz w:val="24"/>
        </w:rPr>
        <w:sectPr w:rsidR="00B90363">
          <w:footerReference w:type="default" r:id="rId10"/>
          <w:type w:val="continuous"/>
          <w:pgSz w:w="11910" w:h="16840"/>
          <w:pgMar w:top="1420" w:right="1220" w:bottom="920" w:left="1220" w:header="720" w:footer="724" w:gutter="0"/>
          <w:pgNumType w:start="1"/>
          <w:cols w:space="720"/>
        </w:sectPr>
      </w:pPr>
    </w:p>
    <w:p w:rsidR="00B90363" w:rsidRDefault="00B90363">
      <w:pPr>
        <w:pStyle w:val="BodyText"/>
        <w:rPr>
          <w:b/>
          <w:sz w:val="20"/>
        </w:rPr>
      </w:pPr>
    </w:p>
    <w:p w:rsidR="00B90363" w:rsidRDefault="007D2DF1">
      <w:pPr>
        <w:spacing w:before="278" w:line="247" w:lineRule="auto"/>
        <w:ind w:left="781" w:hanging="221"/>
        <w:rPr>
          <w:b/>
          <w:sz w:val="48"/>
        </w:rPr>
      </w:pPr>
      <w:r>
        <w:rPr>
          <w:b/>
          <w:color w:val="001F5F"/>
          <w:sz w:val="48"/>
        </w:rPr>
        <w:t xml:space="preserve">Managing DNA (Did Not Attend) </w:t>
      </w:r>
      <w:r>
        <w:rPr>
          <w:b/>
          <w:color w:val="001F5F"/>
          <w:spacing w:val="-6"/>
          <w:sz w:val="48"/>
        </w:rPr>
        <w:t xml:space="preserve">and </w:t>
      </w:r>
      <w:r>
        <w:rPr>
          <w:b/>
          <w:color w:val="001F5F"/>
          <w:sz w:val="48"/>
        </w:rPr>
        <w:t>Cancelled</w:t>
      </w:r>
      <w:r>
        <w:rPr>
          <w:b/>
          <w:color w:val="001F5F"/>
          <w:spacing w:val="-57"/>
          <w:sz w:val="48"/>
        </w:rPr>
        <w:t xml:space="preserve"> </w:t>
      </w:r>
      <w:r>
        <w:rPr>
          <w:b/>
          <w:color w:val="001F5F"/>
          <w:sz w:val="48"/>
        </w:rPr>
        <w:t>Appointments</w:t>
      </w:r>
      <w:r>
        <w:rPr>
          <w:b/>
          <w:color w:val="001F5F"/>
          <w:spacing w:val="-54"/>
          <w:sz w:val="48"/>
        </w:rPr>
        <w:t xml:space="preserve"> </w:t>
      </w:r>
      <w:r>
        <w:rPr>
          <w:b/>
          <w:color w:val="001F5F"/>
          <w:spacing w:val="-3"/>
          <w:sz w:val="48"/>
        </w:rPr>
        <w:t>Procedure</w:t>
      </w:r>
    </w:p>
    <w:p w:rsidR="00B90363" w:rsidRDefault="00B90363">
      <w:pPr>
        <w:pStyle w:val="BodyText"/>
        <w:rPr>
          <w:b/>
          <w:sz w:val="20"/>
        </w:rPr>
      </w:pPr>
    </w:p>
    <w:p w:rsidR="00B90363" w:rsidRDefault="00F30724" w:rsidP="00F30724">
      <w:pPr>
        <w:pStyle w:val="BodyText"/>
        <w:numPr>
          <w:ilvl w:val="0"/>
          <w:numId w:val="6"/>
        </w:numPr>
        <w:rPr>
          <w:b/>
          <w:sz w:val="23"/>
        </w:rPr>
      </w:pPr>
      <w:r>
        <w:rPr>
          <w:b/>
          <w:sz w:val="23"/>
        </w:rPr>
        <w:t>Introduction</w:t>
      </w:r>
    </w:p>
    <w:p w:rsidR="00B90363" w:rsidRDefault="00B90363">
      <w:pPr>
        <w:pStyle w:val="BodyText"/>
        <w:rPr>
          <w:b/>
          <w:sz w:val="20"/>
        </w:rPr>
      </w:pPr>
    </w:p>
    <w:p w:rsidR="00F7080B" w:rsidRPr="002B585F" w:rsidRDefault="00F7080B" w:rsidP="00F7080B">
      <w:pPr>
        <w:pStyle w:val="Default"/>
        <w:ind w:left="720"/>
      </w:pPr>
      <w:r w:rsidRPr="002B585F">
        <w:t xml:space="preserve">The Wheelchair Service (WCS) does sometimes experience client’s not able to attend their appointment and not given notice whether to cancel. This would allow for another client to be seen in their place. We as a service need to manage this in order for clients to be seen for assessment, review or handover of their wheelchair. The following are reasons why this is a concern for the WCS: </w:t>
      </w:r>
    </w:p>
    <w:p w:rsidR="00B90363" w:rsidRDefault="00B90363">
      <w:pPr>
        <w:pStyle w:val="BodyText"/>
        <w:spacing w:before="10"/>
        <w:rPr>
          <w:sz w:val="21"/>
        </w:rPr>
      </w:pPr>
    </w:p>
    <w:p w:rsidR="00B90363" w:rsidRDefault="007D2DF1">
      <w:pPr>
        <w:pStyle w:val="ListParagraph"/>
        <w:numPr>
          <w:ilvl w:val="1"/>
          <w:numId w:val="4"/>
        </w:numPr>
        <w:tabs>
          <w:tab w:val="left" w:pos="1660"/>
          <w:tab w:val="left" w:pos="1661"/>
        </w:tabs>
        <w:ind w:right="659" w:hanging="358"/>
      </w:pPr>
      <w:r>
        <w:t>For some clients, there may be a clinical risk or less favourable outcomes associated with non-attendance and missed</w:t>
      </w:r>
      <w:r>
        <w:rPr>
          <w:spacing w:val="-6"/>
        </w:rPr>
        <w:t xml:space="preserve"> </w:t>
      </w:r>
      <w:r>
        <w:t>appointments.</w:t>
      </w:r>
    </w:p>
    <w:p w:rsidR="00B90363" w:rsidRDefault="00B90363">
      <w:pPr>
        <w:pStyle w:val="BodyText"/>
        <w:spacing w:before="9"/>
        <w:rPr>
          <w:sz w:val="21"/>
        </w:rPr>
      </w:pPr>
    </w:p>
    <w:p w:rsidR="00B90363" w:rsidRDefault="007D2DF1">
      <w:pPr>
        <w:pStyle w:val="ListParagraph"/>
        <w:numPr>
          <w:ilvl w:val="1"/>
          <w:numId w:val="4"/>
        </w:numPr>
        <w:tabs>
          <w:tab w:val="left" w:pos="1660"/>
          <w:tab w:val="left" w:pos="1661"/>
        </w:tabs>
        <w:ind w:right="906" w:hanging="358"/>
      </w:pPr>
      <w:r>
        <w:t xml:space="preserve">DNA’s or cancellation by </w:t>
      </w:r>
      <w:r w:rsidR="00F30724">
        <w:t>client</w:t>
      </w:r>
      <w:r>
        <w:t>s can delay case closure and therefore prevent clinical time being allocated to a new</w:t>
      </w:r>
      <w:r>
        <w:rPr>
          <w:spacing w:val="-10"/>
        </w:rPr>
        <w:t xml:space="preserve"> </w:t>
      </w:r>
      <w:r w:rsidR="00F30724">
        <w:t>client</w:t>
      </w:r>
      <w:r>
        <w:t>.</w:t>
      </w:r>
    </w:p>
    <w:p w:rsidR="00B90363" w:rsidRDefault="00B90363">
      <w:pPr>
        <w:pStyle w:val="BodyText"/>
        <w:spacing w:before="2"/>
      </w:pPr>
    </w:p>
    <w:p w:rsidR="00B90363" w:rsidRDefault="007D2DF1">
      <w:pPr>
        <w:pStyle w:val="ListParagraph"/>
        <w:numPr>
          <w:ilvl w:val="1"/>
          <w:numId w:val="4"/>
        </w:numPr>
        <w:tabs>
          <w:tab w:val="left" w:pos="1660"/>
          <w:tab w:val="left" w:pos="1661"/>
        </w:tabs>
        <w:spacing w:line="237" w:lineRule="auto"/>
        <w:ind w:right="560" w:hanging="358"/>
      </w:pPr>
      <w:r>
        <w:t>There may be financial or contract consequences for if cases are dormant for lengths of</w:t>
      </w:r>
      <w:r>
        <w:rPr>
          <w:spacing w:val="-3"/>
        </w:rPr>
        <w:t xml:space="preserve"> </w:t>
      </w:r>
      <w:r>
        <w:t>time.</w:t>
      </w:r>
    </w:p>
    <w:p w:rsidR="00B90363" w:rsidRDefault="00B90363">
      <w:pPr>
        <w:pStyle w:val="BodyText"/>
        <w:rPr>
          <w:sz w:val="20"/>
        </w:rPr>
      </w:pPr>
    </w:p>
    <w:p w:rsidR="00F30724" w:rsidRPr="00F30724" w:rsidRDefault="00F30724" w:rsidP="00F30724">
      <w:pPr>
        <w:pStyle w:val="BodyText"/>
        <w:numPr>
          <w:ilvl w:val="0"/>
          <w:numId w:val="6"/>
        </w:numPr>
        <w:rPr>
          <w:b/>
          <w:sz w:val="23"/>
          <w:szCs w:val="23"/>
        </w:rPr>
      </w:pPr>
      <w:r w:rsidRPr="00F30724">
        <w:rPr>
          <w:b/>
          <w:sz w:val="23"/>
          <w:szCs w:val="23"/>
        </w:rPr>
        <w:t>Purpose</w:t>
      </w:r>
    </w:p>
    <w:p w:rsidR="00B90363" w:rsidRDefault="00B90363">
      <w:pPr>
        <w:pStyle w:val="BodyText"/>
        <w:spacing w:before="6"/>
        <w:rPr>
          <w:sz w:val="17"/>
        </w:rPr>
      </w:pPr>
    </w:p>
    <w:p w:rsidR="00B90363" w:rsidRDefault="00B90363">
      <w:pPr>
        <w:pStyle w:val="BodyText"/>
        <w:spacing w:before="10"/>
        <w:rPr>
          <w:sz w:val="11"/>
        </w:rPr>
      </w:pPr>
    </w:p>
    <w:p w:rsidR="00F7080B" w:rsidRPr="002B585F" w:rsidRDefault="00F7080B" w:rsidP="00F7080B">
      <w:pPr>
        <w:pStyle w:val="Default"/>
        <w:ind w:left="720"/>
      </w:pPr>
      <w:r w:rsidRPr="002B585F">
        <w:t>The purpose of this procedure is to set out the way in which the WCS will ensure a co-ordinated approach to the risk posed both to the individual and the WCS of patients who do not attend for scheduled appointments.</w:t>
      </w:r>
    </w:p>
    <w:p w:rsidR="00B90363" w:rsidRDefault="00B90363">
      <w:pPr>
        <w:pStyle w:val="BodyText"/>
        <w:rPr>
          <w:sz w:val="20"/>
        </w:rPr>
      </w:pPr>
    </w:p>
    <w:p w:rsidR="00F30724" w:rsidRPr="00F30724" w:rsidRDefault="00F30724" w:rsidP="00F30724">
      <w:pPr>
        <w:pStyle w:val="BodyText"/>
        <w:numPr>
          <w:ilvl w:val="0"/>
          <w:numId w:val="6"/>
        </w:numPr>
        <w:spacing w:before="6"/>
        <w:rPr>
          <w:b/>
          <w:sz w:val="23"/>
          <w:szCs w:val="23"/>
        </w:rPr>
      </w:pPr>
      <w:r w:rsidRPr="00F30724">
        <w:rPr>
          <w:b/>
          <w:sz w:val="23"/>
          <w:szCs w:val="23"/>
        </w:rPr>
        <w:t>Scope</w:t>
      </w:r>
    </w:p>
    <w:p w:rsidR="00B90363" w:rsidRDefault="00B90363">
      <w:pPr>
        <w:pStyle w:val="BodyText"/>
        <w:spacing w:before="10"/>
        <w:rPr>
          <w:sz w:val="11"/>
        </w:rPr>
      </w:pPr>
    </w:p>
    <w:p w:rsidR="00B90363" w:rsidRDefault="007D2DF1">
      <w:pPr>
        <w:pStyle w:val="BodyText"/>
        <w:spacing w:before="93"/>
        <w:ind w:left="940" w:right="658"/>
      </w:pPr>
      <w:r>
        <w:t xml:space="preserve">This procedure applies to all staff who are involved in the management of </w:t>
      </w:r>
      <w:r w:rsidR="00F30724">
        <w:t>client</w:t>
      </w:r>
      <w:r>
        <w:t xml:space="preserve"> appointments i.e.</w:t>
      </w:r>
    </w:p>
    <w:p w:rsidR="00B90363" w:rsidRDefault="00B90363">
      <w:pPr>
        <w:pStyle w:val="BodyText"/>
        <w:spacing w:before="2"/>
      </w:pPr>
    </w:p>
    <w:p w:rsidR="00B90363" w:rsidRDefault="007D2DF1">
      <w:pPr>
        <w:pStyle w:val="ListParagraph"/>
        <w:numPr>
          <w:ilvl w:val="1"/>
          <w:numId w:val="4"/>
        </w:numPr>
        <w:tabs>
          <w:tab w:val="left" w:pos="1297"/>
          <w:tab w:val="left" w:pos="1298"/>
        </w:tabs>
        <w:spacing w:line="268" w:lineRule="exact"/>
        <w:ind w:hanging="358"/>
      </w:pPr>
      <w:r>
        <w:t xml:space="preserve">all clinical </w:t>
      </w:r>
    </w:p>
    <w:p w:rsidR="00B90363" w:rsidRDefault="007D2DF1">
      <w:pPr>
        <w:pStyle w:val="ListParagraph"/>
        <w:numPr>
          <w:ilvl w:val="1"/>
          <w:numId w:val="4"/>
        </w:numPr>
        <w:tabs>
          <w:tab w:val="left" w:pos="1297"/>
          <w:tab w:val="left" w:pos="1298"/>
        </w:tabs>
        <w:spacing w:line="268" w:lineRule="exact"/>
        <w:ind w:hanging="358"/>
      </w:pPr>
      <w:r>
        <w:t>administrative staff, who work in clinical</w:t>
      </w:r>
      <w:r>
        <w:rPr>
          <w:spacing w:val="2"/>
        </w:rPr>
        <w:t xml:space="preserve"> </w:t>
      </w:r>
      <w:r>
        <w:t>teams</w:t>
      </w:r>
    </w:p>
    <w:p w:rsidR="00B90363" w:rsidRDefault="00B90363">
      <w:pPr>
        <w:pStyle w:val="BodyText"/>
        <w:spacing w:before="10"/>
        <w:rPr>
          <w:sz w:val="21"/>
        </w:rPr>
      </w:pPr>
    </w:p>
    <w:p w:rsidR="00B90363" w:rsidRDefault="007D2DF1">
      <w:pPr>
        <w:pStyle w:val="BodyText"/>
        <w:ind w:left="940"/>
      </w:pPr>
      <w:r>
        <w:t>All staff will have access to this procedure via the intranet.</w:t>
      </w:r>
    </w:p>
    <w:p w:rsidR="00B90363" w:rsidRDefault="00B90363">
      <w:pPr>
        <w:pStyle w:val="BodyText"/>
        <w:rPr>
          <w:sz w:val="20"/>
        </w:rPr>
      </w:pPr>
    </w:p>
    <w:p w:rsidR="00B90363" w:rsidRDefault="00B90363">
      <w:pPr>
        <w:rPr>
          <w:sz w:val="23"/>
        </w:rPr>
        <w:sectPr w:rsidR="00B90363">
          <w:pgSz w:w="11910" w:h="16840"/>
          <w:pgMar w:top="1380" w:right="1220" w:bottom="920" w:left="1220" w:header="0" w:footer="724" w:gutter="0"/>
          <w:cols w:space="720"/>
        </w:sectPr>
      </w:pPr>
    </w:p>
    <w:p w:rsidR="00F30724" w:rsidRPr="00F30724" w:rsidRDefault="00F30724" w:rsidP="0092735E">
      <w:pPr>
        <w:pStyle w:val="BodyText"/>
        <w:numPr>
          <w:ilvl w:val="0"/>
          <w:numId w:val="6"/>
        </w:numPr>
        <w:spacing w:before="101"/>
        <w:ind w:right="280"/>
        <w:rPr>
          <w:b/>
          <w:sz w:val="23"/>
          <w:szCs w:val="23"/>
        </w:rPr>
      </w:pPr>
      <w:r w:rsidRPr="00F30724">
        <w:rPr>
          <w:b/>
          <w:sz w:val="23"/>
          <w:szCs w:val="23"/>
        </w:rPr>
        <w:lastRenderedPageBreak/>
        <w:t>Definitions</w:t>
      </w:r>
    </w:p>
    <w:p w:rsidR="00B90363" w:rsidRDefault="007D2DF1">
      <w:pPr>
        <w:pStyle w:val="BodyText"/>
        <w:spacing w:before="101"/>
        <w:ind w:left="940" w:right="280"/>
      </w:pPr>
      <w:r>
        <w:t>The following definitions (taken from the NHS data definitions dictionary will apply for this procedure:</w:t>
      </w:r>
    </w:p>
    <w:p w:rsidR="00B90363" w:rsidRDefault="00B90363">
      <w:pPr>
        <w:pStyle w:val="BodyText"/>
        <w:spacing w:before="2"/>
      </w:pPr>
    </w:p>
    <w:tbl>
      <w:tblPr>
        <w:tblW w:w="0" w:type="auto"/>
        <w:tblInd w:w="94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tblPr>
      <w:tblGrid>
        <w:gridCol w:w="3617"/>
        <w:gridCol w:w="4443"/>
      </w:tblGrid>
      <w:tr w:rsidR="00B90363">
        <w:trPr>
          <w:trHeight w:val="505"/>
        </w:trPr>
        <w:tc>
          <w:tcPr>
            <w:tcW w:w="3617" w:type="dxa"/>
          </w:tcPr>
          <w:p w:rsidR="00B90363" w:rsidRDefault="007D2DF1">
            <w:pPr>
              <w:pStyle w:val="TableParagraph"/>
              <w:spacing w:before="0" w:line="250" w:lineRule="exact"/>
              <w:rPr>
                <w:rFonts w:ascii="Arial"/>
              </w:rPr>
            </w:pPr>
            <w:r>
              <w:rPr>
                <w:rFonts w:ascii="Arial"/>
              </w:rPr>
              <w:t xml:space="preserve">Cancelled by </w:t>
            </w:r>
            <w:r w:rsidR="00F30724">
              <w:rPr>
                <w:rFonts w:ascii="Arial"/>
              </w:rPr>
              <w:t>client</w:t>
            </w:r>
            <w:r>
              <w:rPr>
                <w:rFonts w:ascii="Arial"/>
              </w:rPr>
              <w:t xml:space="preserve"> (CBP)</w:t>
            </w:r>
          </w:p>
        </w:tc>
        <w:tc>
          <w:tcPr>
            <w:tcW w:w="4443" w:type="dxa"/>
          </w:tcPr>
          <w:p w:rsidR="00B90363" w:rsidRDefault="007D2DF1">
            <w:pPr>
              <w:pStyle w:val="TableParagraph"/>
              <w:spacing w:before="2" w:line="252" w:lineRule="exact"/>
              <w:ind w:left="108"/>
              <w:rPr>
                <w:rFonts w:ascii="Arial"/>
              </w:rPr>
            </w:pPr>
            <w:r>
              <w:rPr>
                <w:rFonts w:ascii="Arial"/>
              </w:rPr>
              <w:t xml:space="preserve">Appointment cancelled by, or on behalf of, the </w:t>
            </w:r>
            <w:r w:rsidR="00F30724">
              <w:rPr>
                <w:rFonts w:ascii="Arial"/>
              </w:rPr>
              <w:t>client</w:t>
            </w:r>
            <w:r>
              <w:rPr>
                <w:rFonts w:ascii="Arial"/>
              </w:rPr>
              <w:t>.</w:t>
            </w:r>
          </w:p>
        </w:tc>
      </w:tr>
      <w:tr w:rsidR="00B90363">
        <w:trPr>
          <w:trHeight w:val="505"/>
        </w:trPr>
        <w:tc>
          <w:tcPr>
            <w:tcW w:w="3617" w:type="dxa"/>
          </w:tcPr>
          <w:p w:rsidR="00B90363" w:rsidRDefault="007D2DF1">
            <w:pPr>
              <w:pStyle w:val="TableParagraph"/>
              <w:spacing w:before="0" w:line="250" w:lineRule="exact"/>
              <w:rPr>
                <w:rFonts w:ascii="Arial"/>
              </w:rPr>
            </w:pPr>
            <w:r>
              <w:rPr>
                <w:rFonts w:ascii="Arial"/>
              </w:rPr>
              <w:t>Did not attend (DNA)</w:t>
            </w:r>
          </w:p>
        </w:tc>
        <w:tc>
          <w:tcPr>
            <w:tcW w:w="4443" w:type="dxa"/>
          </w:tcPr>
          <w:p w:rsidR="00B90363" w:rsidRDefault="007D2DF1">
            <w:pPr>
              <w:pStyle w:val="TableParagraph"/>
              <w:spacing w:before="2" w:line="252" w:lineRule="exact"/>
              <w:ind w:left="108"/>
              <w:rPr>
                <w:rFonts w:ascii="Arial"/>
              </w:rPr>
            </w:pPr>
            <w:r>
              <w:rPr>
                <w:rFonts w:ascii="Arial"/>
              </w:rPr>
              <w:t>Did not attend and no advance warning given</w:t>
            </w:r>
          </w:p>
        </w:tc>
      </w:tr>
    </w:tbl>
    <w:p w:rsidR="00B90363" w:rsidRDefault="00B90363">
      <w:pPr>
        <w:pStyle w:val="BodyText"/>
        <w:rPr>
          <w:sz w:val="20"/>
        </w:rPr>
      </w:pPr>
    </w:p>
    <w:p w:rsidR="00B90363" w:rsidRPr="00D87F3A" w:rsidRDefault="00F30724" w:rsidP="00F30724">
      <w:pPr>
        <w:pStyle w:val="BodyText"/>
        <w:numPr>
          <w:ilvl w:val="0"/>
          <w:numId w:val="6"/>
        </w:numPr>
        <w:spacing w:before="10"/>
        <w:rPr>
          <w:b/>
          <w:sz w:val="23"/>
          <w:szCs w:val="23"/>
        </w:rPr>
      </w:pPr>
      <w:r w:rsidRPr="00D87F3A">
        <w:rPr>
          <w:b/>
          <w:sz w:val="23"/>
          <w:szCs w:val="23"/>
        </w:rPr>
        <w:t xml:space="preserve">Duties and Responsibilities </w:t>
      </w:r>
    </w:p>
    <w:p w:rsidR="00B90363" w:rsidRPr="00D87F3A" w:rsidRDefault="00B90363">
      <w:pPr>
        <w:pStyle w:val="BodyText"/>
        <w:rPr>
          <w:sz w:val="21"/>
        </w:rPr>
      </w:pPr>
    </w:p>
    <w:p w:rsidR="00B90363" w:rsidRPr="00D87F3A" w:rsidRDefault="007D2DF1">
      <w:pPr>
        <w:pStyle w:val="Heading2"/>
        <w:numPr>
          <w:ilvl w:val="1"/>
          <w:numId w:val="3"/>
        </w:numPr>
        <w:tabs>
          <w:tab w:val="left" w:pos="940"/>
          <w:tab w:val="left" w:pos="941"/>
        </w:tabs>
        <w:ind w:hanging="721"/>
        <w:rPr>
          <w:sz w:val="23"/>
          <w:szCs w:val="23"/>
        </w:rPr>
      </w:pPr>
      <w:r w:rsidRPr="00D87F3A">
        <w:rPr>
          <w:sz w:val="23"/>
          <w:szCs w:val="23"/>
        </w:rPr>
        <w:t>Clinical</w:t>
      </w:r>
      <w:r w:rsidRPr="00D87F3A">
        <w:rPr>
          <w:spacing w:val="-2"/>
          <w:sz w:val="23"/>
          <w:szCs w:val="23"/>
        </w:rPr>
        <w:t xml:space="preserve"> </w:t>
      </w:r>
      <w:r w:rsidR="00D87F3A">
        <w:rPr>
          <w:sz w:val="23"/>
          <w:szCs w:val="23"/>
        </w:rPr>
        <w:t>lead</w:t>
      </w:r>
    </w:p>
    <w:p w:rsidR="00B90363" w:rsidRPr="00D87F3A" w:rsidRDefault="00B90363">
      <w:pPr>
        <w:pStyle w:val="BodyText"/>
        <w:spacing w:before="8"/>
        <w:rPr>
          <w:b/>
          <w:sz w:val="25"/>
        </w:rPr>
      </w:pPr>
    </w:p>
    <w:p w:rsidR="00B90363" w:rsidRPr="00721F25" w:rsidRDefault="007D2DF1">
      <w:pPr>
        <w:pStyle w:val="BodyText"/>
        <w:spacing w:line="237" w:lineRule="auto"/>
        <w:ind w:left="940" w:right="378"/>
      </w:pPr>
      <w:r w:rsidRPr="00721F25">
        <w:rPr>
          <w:w w:val="115"/>
        </w:rPr>
        <w:t xml:space="preserve">The Clinical </w:t>
      </w:r>
      <w:r w:rsidR="00D87F3A">
        <w:rPr>
          <w:w w:val="115"/>
        </w:rPr>
        <w:t>lead</w:t>
      </w:r>
      <w:r w:rsidR="00D87F3A" w:rsidRPr="00721F25">
        <w:rPr>
          <w:w w:val="115"/>
        </w:rPr>
        <w:t xml:space="preserve"> </w:t>
      </w:r>
      <w:r w:rsidRPr="00721F25">
        <w:rPr>
          <w:w w:val="115"/>
        </w:rPr>
        <w:t xml:space="preserve">are responsible for ensuring that DNAs and cancellations are managed in line with this procedure and that any locally developed procedures are in line with this </w:t>
      </w:r>
      <w:r w:rsidR="00F30724" w:rsidRPr="00721F25">
        <w:rPr>
          <w:w w:val="115"/>
        </w:rPr>
        <w:t>Local Authority</w:t>
      </w:r>
      <w:r w:rsidRPr="00721F25">
        <w:rPr>
          <w:w w:val="115"/>
        </w:rPr>
        <w:t xml:space="preserve"> wide approach.</w:t>
      </w:r>
    </w:p>
    <w:p w:rsidR="00B90363" w:rsidRPr="00721F25" w:rsidRDefault="00B90363">
      <w:pPr>
        <w:pStyle w:val="BodyText"/>
        <w:spacing w:before="8"/>
      </w:pPr>
    </w:p>
    <w:p w:rsidR="00B90363" w:rsidRPr="00D87F3A" w:rsidRDefault="007D2DF1">
      <w:pPr>
        <w:pStyle w:val="Heading2"/>
        <w:numPr>
          <w:ilvl w:val="1"/>
          <w:numId w:val="3"/>
        </w:numPr>
        <w:tabs>
          <w:tab w:val="left" w:pos="940"/>
          <w:tab w:val="left" w:pos="941"/>
        </w:tabs>
        <w:spacing w:before="1"/>
        <w:ind w:hanging="721"/>
        <w:rPr>
          <w:sz w:val="23"/>
          <w:szCs w:val="23"/>
        </w:rPr>
      </w:pPr>
      <w:r w:rsidRPr="00D87F3A">
        <w:rPr>
          <w:sz w:val="23"/>
          <w:szCs w:val="23"/>
        </w:rPr>
        <w:t>Responsible</w:t>
      </w:r>
      <w:r w:rsidRPr="00D87F3A">
        <w:rPr>
          <w:spacing w:val="-2"/>
          <w:sz w:val="23"/>
          <w:szCs w:val="23"/>
        </w:rPr>
        <w:t xml:space="preserve"> </w:t>
      </w:r>
      <w:r w:rsidRPr="00D87F3A">
        <w:rPr>
          <w:sz w:val="23"/>
          <w:szCs w:val="23"/>
        </w:rPr>
        <w:t>clinician</w:t>
      </w:r>
    </w:p>
    <w:p w:rsidR="00B90363" w:rsidRPr="00D87F3A" w:rsidRDefault="00B90363">
      <w:pPr>
        <w:pStyle w:val="BodyText"/>
        <w:spacing w:before="5"/>
        <w:rPr>
          <w:b/>
          <w:sz w:val="25"/>
        </w:rPr>
      </w:pPr>
    </w:p>
    <w:p w:rsidR="00B90363" w:rsidRPr="00721F25" w:rsidRDefault="007D2DF1">
      <w:pPr>
        <w:pStyle w:val="BodyText"/>
        <w:spacing w:line="237" w:lineRule="auto"/>
        <w:ind w:left="940" w:right="285"/>
      </w:pPr>
      <w:r w:rsidRPr="00721F25">
        <w:rPr>
          <w:w w:val="115"/>
        </w:rPr>
        <w:t>The named HCP is responsible for ensuring that an entry is made in the</w:t>
      </w:r>
      <w:r w:rsidRPr="00721F25">
        <w:rPr>
          <w:spacing w:val="-30"/>
          <w:w w:val="115"/>
        </w:rPr>
        <w:t xml:space="preserve"> </w:t>
      </w:r>
      <w:r w:rsidR="00F30724" w:rsidRPr="00721F25">
        <w:rPr>
          <w:w w:val="115"/>
        </w:rPr>
        <w:t>client</w:t>
      </w:r>
      <w:r w:rsidRPr="00721F25">
        <w:rPr>
          <w:w w:val="115"/>
        </w:rPr>
        <w:t xml:space="preserve">’s electronic record on each occasion the </w:t>
      </w:r>
      <w:r w:rsidR="00F30724" w:rsidRPr="00721F25">
        <w:rPr>
          <w:w w:val="115"/>
        </w:rPr>
        <w:t>client</w:t>
      </w:r>
      <w:r w:rsidRPr="00721F25">
        <w:rPr>
          <w:w w:val="115"/>
        </w:rPr>
        <w:t xml:space="preserve"> does not attend an appointment. The HCP is also responsible for monitoring and drawing up a plan for any </w:t>
      </w:r>
      <w:r w:rsidR="00F30724" w:rsidRPr="00721F25">
        <w:rPr>
          <w:w w:val="115"/>
        </w:rPr>
        <w:t>client</w:t>
      </w:r>
      <w:r w:rsidRPr="00721F25">
        <w:rPr>
          <w:w w:val="115"/>
        </w:rPr>
        <w:t xml:space="preserve"> who persistently fails to</w:t>
      </w:r>
      <w:r w:rsidRPr="00721F25">
        <w:rPr>
          <w:spacing w:val="12"/>
          <w:w w:val="115"/>
        </w:rPr>
        <w:t xml:space="preserve"> </w:t>
      </w:r>
      <w:r w:rsidRPr="00721F25">
        <w:rPr>
          <w:w w:val="115"/>
        </w:rPr>
        <w:t>attend.</w:t>
      </w:r>
    </w:p>
    <w:p w:rsidR="00B90363" w:rsidRPr="00721F25" w:rsidRDefault="00B90363">
      <w:pPr>
        <w:pStyle w:val="BodyText"/>
        <w:spacing w:before="8"/>
      </w:pPr>
    </w:p>
    <w:p w:rsidR="00B90363" w:rsidRPr="00D87F3A" w:rsidRDefault="007D2DF1">
      <w:pPr>
        <w:pStyle w:val="Heading2"/>
        <w:numPr>
          <w:ilvl w:val="1"/>
          <w:numId w:val="3"/>
        </w:numPr>
        <w:tabs>
          <w:tab w:val="left" w:pos="940"/>
          <w:tab w:val="left" w:pos="941"/>
        </w:tabs>
        <w:spacing w:before="1"/>
        <w:ind w:hanging="721"/>
        <w:rPr>
          <w:sz w:val="23"/>
          <w:szCs w:val="23"/>
        </w:rPr>
      </w:pPr>
      <w:r w:rsidRPr="00D87F3A">
        <w:rPr>
          <w:sz w:val="23"/>
          <w:szCs w:val="23"/>
        </w:rPr>
        <w:t>Clinical Staff Working Under</w:t>
      </w:r>
      <w:r w:rsidRPr="00D87F3A">
        <w:rPr>
          <w:spacing w:val="-8"/>
          <w:sz w:val="23"/>
          <w:szCs w:val="23"/>
        </w:rPr>
        <w:t xml:space="preserve"> </w:t>
      </w:r>
      <w:r w:rsidRPr="00D87F3A">
        <w:rPr>
          <w:sz w:val="23"/>
          <w:szCs w:val="23"/>
        </w:rPr>
        <w:t>Supervision</w:t>
      </w:r>
    </w:p>
    <w:p w:rsidR="00B90363" w:rsidRPr="00D87F3A" w:rsidRDefault="00B90363">
      <w:pPr>
        <w:pStyle w:val="BodyText"/>
        <w:spacing w:before="5"/>
        <w:rPr>
          <w:b/>
          <w:sz w:val="25"/>
        </w:rPr>
      </w:pPr>
    </w:p>
    <w:p w:rsidR="00B90363" w:rsidRPr="00721F25" w:rsidRDefault="007D2DF1">
      <w:pPr>
        <w:pStyle w:val="BodyText"/>
        <w:spacing w:line="237" w:lineRule="auto"/>
        <w:ind w:left="940" w:right="326"/>
      </w:pPr>
      <w:r w:rsidRPr="00721F25">
        <w:rPr>
          <w:w w:val="115"/>
        </w:rPr>
        <w:t>Clinical staff working under supervision are responsible for discussing DNAs and CBPs with the</w:t>
      </w:r>
      <w:r w:rsidR="00D87F3A">
        <w:rPr>
          <w:w w:val="115"/>
        </w:rPr>
        <w:t xml:space="preserve"> clinical lead </w:t>
      </w:r>
      <w:r w:rsidRPr="00721F25">
        <w:rPr>
          <w:w w:val="115"/>
        </w:rPr>
        <w:t>and following any advice given for the future management of the</w:t>
      </w:r>
      <w:r w:rsidRPr="00721F25">
        <w:rPr>
          <w:spacing w:val="51"/>
          <w:w w:val="115"/>
        </w:rPr>
        <w:t xml:space="preserve"> </w:t>
      </w:r>
      <w:r w:rsidR="00F30724" w:rsidRPr="00721F25">
        <w:rPr>
          <w:w w:val="115"/>
        </w:rPr>
        <w:t>client</w:t>
      </w:r>
      <w:r w:rsidRPr="00721F25">
        <w:rPr>
          <w:w w:val="115"/>
        </w:rPr>
        <w:t>.</w:t>
      </w:r>
    </w:p>
    <w:p w:rsidR="00B90363" w:rsidRPr="00721F25" w:rsidRDefault="00B90363">
      <w:pPr>
        <w:pStyle w:val="BodyText"/>
        <w:spacing w:before="8"/>
      </w:pPr>
    </w:p>
    <w:p w:rsidR="00B90363" w:rsidRPr="00721F25" w:rsidRDefault="00B90363">
      <w:pPr>
        <w:pStyle w:val="BodyText"/>
        <w:spacing w:before="8"/>
      </w:pPr>
    </w:p>
    <w:p w:rsidR="00B90363" w:rsidRPr="00D87F3A" w:rsidRDefault="007D2DF1">
      <w:pPr>
        <w:pStyle w:val="Heading2"/>
        <w:numPr>
          <w:ilvl w:val="1"/>
          <w:numId w:val="3"/>
        </w:numPr>
        <w:tabs>
          <w:tab w:val="left" w:pos="940"/>
          <w:tab w:val="left" w:pos="941"/>
        </w:tabs>
        <w:ind w:hanging="721"/>
        <w:rPr>
          <w:sz w:val="23"/>
          <w:szCs w:val="23"/>
        </w:rPr>
      </w:pPr>
      <w:r w:rsidRPr="00D87F3A">
        <w:rPr>
          <w:w w:val="105"/>
          <w:sz w:val="23"/>
          <w:szCs w:val="23"/>
        </w:rPr>
        <w:t>Administrative</w:t>
      </w:r>
      <w:r w:rsidRPr="00D87F3A">
        <w:rPr>
          <w:spacing w:val="-6"/>
          <w:w w:val="105"/>
          <w:sz w:val="23"/>
          <w:szCs w:val="23"/>
        </w:rPr>
        <w:t xml:space="preserve"> </w:t>
      </w:r>
      <w:r w:rsidRPr="00D87F3A">
        <w:rPr>
          <w:w w:val="105"/>
          <w:sz w:val="23"/>
          <w:szCs w:val="23"/>
        </w:rPr>
        <w:t>Staff</w:t>
      </w:r>
    </w:p>
    <w:p w:rsidR="00B90363" w:rsidRPr="00D87F3A" w:rsidRDefault="00B90363">
      <w:pPr>
        <w:pStyle w:val="BodyText"/>
        <w:spacing w:before="5"/>
        <w:rPr>
          <w:b/>
          <w:sz w:val="25"/>
        </w:rPr>
      </w:pPr>
    </w:p>
    <w:p w:rsidR="00B90363" w:rsidRPr="00721F25" w:rsidRDefault="007D2DF1">
      <w:pPr>
        <w:pStyle w:val="BodyText"/>
        <w:spacing w:line="237" w:lineRule="auto"/>
        <w:ind w:left="940" w:right="394"/>
        <w:jc w:val="both"/>
      </w:pPr>
      <w:r w:rsidRPr="00721F25">
        <w:rPr>
          <w:w w:val="115"/>
        </w:rPr>
        <w:t>Administrative staff are responsible for taking accurate messages from</w:t>
      </w:r>
      <w:r w:rsidRPr="00721F25">
        <w:rPr>
          <w:spacing w:val="-35"/>
          <w:w w:val="115"/>
        </w:rPr>
        <w:t xml:space="preserve"> </w:t>
      </w:r>
      <w:r w:rsidR="00F30724" w:rsidRPr="00721F25">
        <w:rPr>
          <w:w w:val="115"/>
        </w:rPr>
        <w:t>client</w:t>
      </w:r>
      <w:r w:rsidRPr="00721F25">
        <w:rPr>
          <w:w w:val="115"/>
        </w:rPr>
        <w:t xml:space="preserve">s who telephone to cancel/change appointments and for noting DNAs. They are also responsible for fixing alternative appointments and ensuring that </w:t>
      </w:r>
      <w:r w:rsidR="00F30724" w:rsidRPr="00721F25">
        <w:rPr>
          <w:w w:val="115"/>
        </w:rPr>
        <w:t>client</w:t>
      </w:r>
      <w:r w:rsidRPr="00721F25">
        <w:rPr>
          <w:w w:val="115"/>
        </w:rPr>
        <w:t>s receive notification of the next</w:t>
      </w:r>
      <w:r w:rsidRPr="00721F25">
        <w:rPr>
          <w:spacing w:val="15"/>
          <w:w w:val="115"/>
        </w:rPr>
        <w:t xml:space="preserve"> </w:t>
      </w:r>
      <w:r w:rsidRPr="00721F25">
        <w:rPr>
          <w:w w:val="115"/>
        </w:rPr>
        <w:t>appointment.</w:t>
      </w:r>
    </w:p>
    <w:p w:rsidR="00B90363" w:rsidRPr="00721F25" w:rsidRDefault="00B90363">
      <w:pPr>
        <w:pStyle w:val="BodyText"/>
        <w:spacing w:before="9"/>
      </w:pPr>
    </w:p>
    <w:p w:rsidR="00B90363" w:rsidRPr="00721F25" w:rsidRDefault="00B90363">
      <w:pPr>
        <w:spacing w:line="237" w:lineRule="auto"/>
        <w:sectPr w:rsidR="00B90363" w:rsidRPr="00721F25">
          <w:pgSz w:w="11910" w:h="16840"/>
          <w:pgMar w:top="1580" w:right="1220" w:bottom="920" w:left="1220" w:header="0" w:footer="724" w:gutter="0"/>
          <w:cols w:space="720"/>
        </w:sectPr>
      </w:pPr>
    </w:p>
    <w:p w:rsidR="00B90363" w:rsidRPr="00721F25" w:rsidRDefault="00B90363">
      <w:pPr>
        <w:pStyle w:val="BodyText"/>
        <w:spacing w:before="5"/>
        <w:rPr>
          <w:b/>
          <w:sz w:val="23"/>
          <w:szCs w:val="23"/>
        </w:rPr>
      </w:pPr>
    </w:p>
    <w:p w:rsidR="00B90363" w:rsidRPr="00D87F3A" w:rsidRDefault="005B08F4" w:rsidP="005B08F4">
      <w:pPr>
        <w:pStyle w:val="BodyText"/>
        <w:numPr>
          <w:ilvl w:val="0"/>
          <w:numId w:val="6"/>
        </w:numPr>
        <w:rPr>
          <w:b/>
          <w:sz w:val="23"/>
          <w:szCs w:val="23"/>
        </w:rPr>
      </w:pPr>
      <w:r w:rsidRPr="00D87F3A">
        <w:rPr>
          <w:b/>
          <w:sz w:val="23"/>
          <w:szCs w:val="23"/>
        </w:rPr>
        <w:t>Procedures</w:t>
      </w:r>
    </w:p>
    <w:p w:rsidR="00B90363" w:rsidRPr="00721F25" w:rsidRDefault="00B90363">
      <w:pPr>
        <w:pStyle w:val="BodyText"/>
        <w:spacing w:before="1"/>
        <w:rPr>
          <w:sz w:val="10"/>
        </w:rPr>
      </w:pPr>
    </w:p>
    <w:p w:rsidR="00B90363" w:rsidRPr="00D87F3A" w:rsidRDefault="007D2DF1">
      <w:pPr>
        <w:pStyle w:val="Heading2"/>
        <w:numPr>
          <w:ilvl w:val="1"/>
          <w:numId w:val="2"/>
        </w:numPr>
        <w:tabs>
          <w:tab w:val="left" w:pos="940"/>
          <w:tab w:val="left" w:pos="941"/>
        </w:tabs>
        <w:spacing w:before="93"/>
        <w:ind w:hanging="721"/>
      </w:pPr>
      <w:r w:rsidRPr="00D87F3A">
        <w:t>Action Following Non</w:t>
      </w:r>
      <w:r w:rsidRPr="00D87F3A">
        <w:rPr>
          <w:spacing w:val="-6"/>
        </w:rPr>
        <w:t xml:space="preserve"> </w:t>
      </w:r>
      <w:r w:rsidRPr="00D87F3A">
        <w:t>Attendance</w:t>
      </w:r>
    </w:p>
    <w:p w:rsidR="00B90363" w:rsidRPr="00D87F3A" w:rsidRDefault="00B90363">
      <w:pPr>
        <w:pStyle w:val="BodyText"/>
        <w:spacing w:before="3"/>
        <w:rPr>
          <w:b/>
        </w:rPr>
      </w:pPr>
    </w:p>
    <w:p w:rsidR="00B90363" w:rsidRPr="00D87F3A" w:rsidRDefault="007D2DF1">
      <w:pPr>
        <w:pStyle w:val="BodyText"/>
        <w:ind w:left="940" w:right="289"/>
      </w:pPr>
      <w:r w:rsidRPr="00D87F3A">
        <w:t xml:space="preserve">If a </w:t>
      </w:r>
      <w:r w:rsidR="00F30724" w:rsidRPr="00D87F3A">
        <w:t>client</w:t>
      </w:r>
      <w:r w:rsidRPr="00D87F3A">
        <w:t xml:space="preserve"> cancels an appointment, an electronic note should be made of the time and date, who cancelled the appointment and the reason for cancellation, if given. A file note should be placed on the clinical record and the appointment should be coded appropriately on the </w:t>
      </w:r>
      <w:r w:rsidR="00F30724" w:rsidRPr="00D87F3A">
        <w:t>client</w:t>
      </w:r>
      <w:r w:rsidRPr="00D87F3A">
        <w:t xml:space="preserve"> information system. Those who need to know should be informed.</w:t>
      </w:r>
    </w:p>
    <w:p w:rsidR="00B90363" w:rsidRPr="00D87F3A" w:rsidRDefault="00B90363">
      <w:pPr>
        <w:pStyle w:val="BodyText"/>
        <w:spacing w:before="1"/>
      </w:pPr>
    </w:p>
    <w:p w:rsidR="00B90363" w:rsidRPr="00D87F3A" w:rsidRDefault="007D2DF1">
      <w:pPr>
        <w:pStyle w:val="BodyText"/>
        <w:ind w:left="940" w:right="280"/>
      </w:pPr>
      <w:r w:rsidRPr="00D87F3A">
        <w:t xml:space="preserve">In some circumstances appointments should be deleted rather than coded as cancelled by </w:t>
      </w:r>
      <w:r w:rsidR="00F30724" w:rsidRPr="00D87F3A">
        <w:t>client</w:t>
      </w:r>
      <w:r w:rsidRPr="00D87F3A">
        <w:t xml:space="preserve"> e.g. when a </w:t>
      </w:r>
      <w:r w:rsidR="00F30724" w:rsidRPr="00D87F3A">
        <w:t>client</w:t>
      </w:r>
      <w:r w:rsidRPr="00D87F3A">
        <w:t xml:space="preserve"> and therapist agree a break in </w:t>
      </w:r>
      <w:r w:rsidR="00992E94" w:rsidRPr="00D87F3A">
        <w:t>review</w:t>
      </w:r>
      <w:r w:rsidRPr="00D87F3A">
        <w:t xml:space="preserve">. In such cases the clinician clarifies with the </w:t>
      </w:r>
      <w:r w:rsidR="00F30724" w:rsidRPr="00D87F3A">
        <w:t>client</w:t>
      </w:r>
      <w:r w:rsidRPr="00D87F3A">
        <w:t xml:space="preserve"> (or vice versa) the reason for the interruption and clarifies the date when </w:t>
      </w:r>
      <w:r w:rsidR="00992E94" w:rsidRPr="00D87F3A">
        <w:t>review</w:t>
      </w:r>
      <w:r w:rsidRPr="00D87F3A">
        <w:t xml:space="preserve"> re-starts. The appointment will be deleted by the clinician or relevant administrator.</w:t>
      </w:r>
    </w:p>
    <w:p w:rsidR="00B90363" w:rsidRPr="00D87F3A" w:rsidRDefault="00B90363">
      <w:pPr>
        <w:pStyle w:val="BodyText"/>
        <w:spacing w:before="9"/>
        <w:rPr>
          <w:sz w:val="21"/>
        </w:rPr>
      </w:pPr>
    </w:p>
    <w:p w:rsidR="00B90363" w:rsidRPr="00D87F3A" w:rsidRDefault="00F30724">
      <w:pPr>
        <w:pStyle w:val="Heading2"/>
        <w:numPr>
          <w:ilvl w:val="1"/>
          <w:numId w:val="2"/>
        </w:numPr>
        <w:tabs>
          <w:tab w:val="left" w:pos="940"/>
          <w:tab w:val="left" w:pos="941"/>
        </w:tabs>
        <w:ind w:right="1577"/>
        <w:rPr>
          <w:sz w:val="23"/>
          <w:szCs w:val="23"/>
        </w:rPr>
      </w:pPr>
      <w:r w:rsidRPr="00D87F3A">
        <w:rPr>
          <w:sz w:val="23"/>
          <w:szCs w:val="23"/>
        </w:rPr>
        <w:t>Client</w:t>
      </w:r>
      <w:r w:rsidR="007D2DF1" w:rsidRPr="00D87F3A">
        <w:rPr>
          <w:sz w:val="23"/>
          <w:szCs w:val="23"/>
        </w:rPr>
        <w:t>s who Do Not Attend</w:t>
      </w:r>
      <w:r w:rsidR="00992E94" w:rsidRPr="00D87F3A">
        <w:rPr>
          <w:sz w:val="23"/>
          <w:szCs w:val="23"/>
        </w:rPr>
        <w:t xml:space="preserve"> (DNA)</w:t>
      </w:r>
      <w:r w:rsidR="007D2DF1" w:rsidRPr="00D87F3A">
        <w:rPr>
          <w:sz w:val="23"/>
          <w:szCs w:val="23"/>
        </w:rPr>
        <w:t xml:space="preserve"> or who Cancel their First Consultation Appointment</w:t>
      </w:r>
    </w:p>
    <w:p w:rsidR="00B90363" w:rsidRPr="00D87F3A" w:rsidRDefault="00B90363">
      <w:pPr>
        <w:pStyle w:val="BodyText"/>
        <w:spacing w:before="2"/>
        <w:rPr>
          <w:b/>
        </w:rPr>
      </w:pPr>
    </w:p>
    <w:p w:rsidR="00B90363" w:rsidRPr="00D87F3A" w:rsidRDefault="007D2DF1">
      <w:pPr>
        <w:pStyle w:val="BodyText"/>
        <w:ind w:left="964" w:right="255"/>
      </w:pPr>
      <w:r w:rsidRPr="00D87F3A">
        <w:t xml:space="preserve">The </w:t>
      </w:r>
      <w:r w:rsidR="00F30724" w:rsidRPr="00D87F3A">
        <w:t>client</w:t>
      </w:r>
      <w:r w:rsidRPr="00D87F3A">
        <w:t xml:space="preserve"> will be contacted by telephone or letter to arrange a further appointment. If a second appointment is not attended or cancelled by the </w:t>
      </w:r>
      <w:r w:rsidR="00F30724" w:rsidRPr="00D87F3A">
        <w:t>client</w:t>
      </w:r>
      <w:r w:rsidRPr="00D87F3A">
        <w:t xml:space="preserve"> then the case will be reviewed by clinicians to ascertain the level of risk making sure that </w:t>
      </w:r>
      <w:r w:rsidR="00F30724" w:rsidRPr="00D87F3A">
        <w:t>client</w:t>
      </w:r>
      <w:r w:rsidRPr="00D87F3A">
        <w:t>s who do not attend appointments are not automatically discharged from services. Instead their reasons for not attending should be actively followed up and they should be offered further support to help them engage including consideration of the venue of appointments. In addition, based on known risk, consideration should be given as to whether additional action should be taken such as:</w:t>
      </w:r>
    </w:p>
    <w:p w:rsidR="00B90363" w:rsidRPr="00D87F3A" w:rsidRDefault="00B90363">
      <w:pPr>
        <w:pStyle w:val="BodyText"/>
        <w:spacing w:before="2"/>
      </w:pPr>
    </w:p>
    <w:p w:rsidR="00B90363" w:rsidRPr="00D87F3A" w:rsidRDefault="007D2DF1">
      <w:pPr>
        <w:pStyle w:val="ListParagraph"/>
        <w:numPr>
          <w:ilvl w:val="2"/>
          <w:numId w:val="2"/>
        </w:numPr>
        <w:tabs>
          <w:tab w:val="left" w:pos="1224"/>
        </w:tabs>
        <w:spacing w:before="1" w:line="237" w:lineRule="auto"/>
        <w:ind w:right="313" w:hanging="358"/>
      </w:pPr>
      <w:r w:rsidRPr="00D87F3A">
        <w:t>Inform the referrer and possibly the General Practitioner (GP), of non-attendance, referring to any known</w:t>
      </w:r>
      <w:r w:rsidRPr="00D87F3A">
        <w:rPr>
          <w:spacing w:val="-5"/>
        </w:rPr>
        <w:t xml:space="preserve"> </w:t>
      </w:r>
      <w:r w:rsidRPr="00D87F3A">
        <w:t>risks.</w:t>
      </w:r>
    </w:p>
    <w:p w:rsidR="00B90363" w:rsidRPr="00D87F3A" w:rsidRDefault="007D2DF1">
      <w:pPr>
        <w:pStyle w:val="ListParagraph"/>
        <w:numPr>
          <w:ilvl w:val="2"/>
          <w:numId w:val="2"/>
        </w:numPr>
        <w:tabs>
          <w:tab w:val="left" w:pos="1224"/>
        </w:tabs>
        <w:spacing w:before="1" w:line="268" w:lineRule="exact"/>
        <w:ind w:left="1223"/>
      </w:pPr>
      <w:r w:rsidRPr="00D87F3A">
        <w:t>Telephone the referrer and possibly the GP to seek further</w:t>
      </w:r>
      <w:r w:rsidRPr="00D87F3A">
        <w:rPr>
          <w:spacing w:val="-16"/>
        </w:rPr>
        <w:t xml:space="preserve"> </w:t>
      </w:r>
      <w:r w:rsidRPr="00D87F3A">
        <w:t>information/discuss</w:t>
      </w:r>
    </w:p>
    <w:p w:rsidR="00B90363" w:rsidRPr="00D87F3A" w:rsidRDefault="007D2DF1">
      <w:pPr>
        <w:pStyle w:val="ListParagraph"/>
        <w:numPr>
          <w:ilvl w:val="2"/>
          <w:numId w:val="2"/>
        </w:numPr>
        <w:tabs>
          <w:tab w:val="left" w:pos="1224"/>
        </w:tabs>
        <w:spacing w:line="268" w:lineRule="exact"/>
        <w:ind w:left="1223"/>
      </w:pPr>
      <w:r w:rsidRPr="00D87F3A">
        <w:t>Discuss with others involved in care or Multi-disciplinary Clinical Team</w:t>
      </w:r>
      <w:r w:rsidRPr="00D87F3A">
        <w:rPr>
          <w:spacing w:val="-16"/>
        </w:rPr>
        <w:t xml:space="preserve"> </w:t>
      </w:r>
      <w:r w:rsidRPr="00D87F3A">
        <w:t>(MDT)</w:t>
      </w:r>
    </w:p>
    <w:p w:rsidR="00B90363" w:rsidRPr="00D87F3A" w:rsidRDefault="007D2DF1" w:rsidP="00721F25">
      <w:pPr>
        <w:pStyle w:val="ListParagraph"/>
        <w:numPr>
          <w:ilvl w:val="2"/>
          <w:numId w:val="2"/>
        </w:numPr>
        <w:tabs>
          <w:tab w:val="left" w:pos="1224"/>
        </w:tabs>
        <w:spacing w:before="7"/>
        <w:ind w:right="518" w:hanging="358"/>
        <w:rPr>
          <w:sz w:val="21"/>
        </w:rPr>
      </w:pPr>
      <w:r w:rsidRPr="00D87F3A">
        <w:t>When a child or young person has been referred by school or Social Services a follow up call or consultation to the referrer will be</w:t>
      </w:r>
      <w:r w:rsidRPr="00D87F3A">
        <w:rPr>
          <w:spacing w:val="-9"/>
        </w:rPr>
        <w:t xml:space="preserve"> </w:t>
      </w:r>
      <w:r w:rsidRPr="00D87F3A">
        <w:t>offered.</w:t>
      </w:r>
    </w:p>
    <w:p w:rsidR="00B90363" w:rsidRPr="00D87F3A" w:rsidRDefault="007D2DF1">
      <w:pPr>
        <w:pStyle w:val="ListParagraph"/>
        <w:numPr>
          <w:ilvl w:val="2"/>
          <w:numId w:val="2"/>
        </w:numPr>
        <w:tabs>
          <w:tab w:val="left" w:pos="1147"/>
        </w:tabs>
        <w:ind w:left="940" w:right="381" w:firstLine="0"/>
      </w:pPr>
      <w:r w:rsidRPr="00D87F3A">
        <w:t xml:space="preserve">If a </w:t>
      </w:r>
      <w:r w:rsidR="00F30724" w:rsidRPr="00D87F3A">
        <w:t>client</w:t>
      </w:r>
      <w:r w:rsidRPr="00D87F3A">
        <w:t xml:space="preserve"> does not attend two ‘first’ appointments and the level of vulnerability or risk is deemed to be low, then the case should be considered for closure and discharge back to the referrer and/or GP unless there are strong clinical reasons to persevere. Any risks should be communicated to both the referrer and/or the</w:t>
      </w:r>
      <w:r w:rsidRPr="00D87F3A">
        <w:rPr>
          <w:spacing w:val="-21"/>
        </w:rPr>
        <w:t xml:space="preserve"> </w:t>
      </w:r>
      <w:r w:rsidRPr="00D87F3A">
        <w:t>GP.</w:t>
      </w:r>
    </w:p>
    <w:p w:rsidR="00B90363" w:rsidRPr="00D87F3A" w:rsidRDefault="00B90363">
      <w:pPr>
        <w:pStyle w:val="BodyText"/>
        <w:spacing w:before="9"/>
        <w:rPr>
          <w:sz w:val="21"/>
        </w:rPr>
      </w:pPr>
    </w:p>
    <w:p w:rsidR="00B90363" w:rsidRPr="00D87F3A" w:rsidRDefault="00F30724">
      <w:pPr>
        <w:pStyle w:val="Heading2"/>
        <w:numPr>
          <w:ilvl w:val="1"/>
          <w:numId w:val="2"/>
        </w:numPr>
        <w:tabs>
          <w:tab w:val="left" w:pos="940"/>
          <w:tab w:val="left" w:pos="941"/>
        </w:tabs>
        <w:spacing w:before="1"/>
        <w:ind w:hanging="721"/>
        <w:rPr>
          <w:sz w:val="23"/>
          <w:szCs w:val="23"/>
        </w:rPr>
      </w:pPr>
      <w:r w:rsidRPr="00D87F3A">
        <w:rPr>
          <w:sz w:val="23"/>
          <w:szCs w:val="23"/>
        </w:rPr>
        <w:t>Client</w:t>
      </w:r>
      <w:r w:rsidR="007D2DF1" w:rsidRPr="00D87F3A">
        <w:rPr>
          <w:sz w:val="23"/>
          <w:szCs w:val="23"/>
        </w:rPr>
        <w:t>s who Do Not Attend Subsequent</w:t>
      </w:r>
      <w:r w:rsidR="007D2DF1" w:rsidRPr="00D87F3A">
        <w:rPr>
          <w:spacing w:val="-4"/>
          <w:sz w:val="23"/>
          <w:szCs w:val="23"/>
        </w:rPr>
        <w:t xml:space="preserve"> </w:t>
      </w:r>
      <w:r w:rsidR="007D2DF1" w:rsidRPr="00D87F3A">
        <w:rPr>
          <w:sz w:val="23"/>
          <w:szCs w:val="23"/>
        </w:rPr>
        <w:t>Appointments</w:t>
      </w:r>
    </w:p>
    <w:p w:rsidR="00B90363" w:rsidRPr="00D87F3A" w:rsidRDefault="00B90363">
      <w:pPr>
        <w:pStyle w:val="BodyText"/>
        <w:rPr>
          <w:b/>
        </w:rPr>
      </w:pPr>
    </w:p>
    <w:p w:rsidR="00B90363" w:rsidRPr="00D87F3A" w:rsidRDefault="00F30724">
      <w:pPr>
        <w:pStyle w:val="ListParagraph"/>
        <w:numPr>
          <w:ilvl w:val="2"/>
          <w:numId w:val="2"/>
        </w:numPr>
        <w:tabs>
          <w:tab w:val="left" w:pos="1147"/>
        </w:tabs>
        <w:ind w:left="940" w:right="501" w:firstLine="0"/>
      </w:pPr>
      <w:r w:rsidRPr="00D87F3A">
        <w:t>Client</w:t>
      </w:r>
      <w:r w:rsidR="007D2DF1" w:rsidRPr="00D87F3A">
        <w:t xml:space="preserve">s who DNA subsequent assessment appointments will be contacted and asked whether they wish a further appointment. If a further appointment is already booked, the </w:t>
      </w:r>
      <w:r w:rsidRPr="00D87F3A">
        <w:t>client</w:t>
      </w:r>
      <w:r w:rsidR="007D2DF1" w:rsidRPr="00D87F3A">
        <w:t xml:space="preserve"> will be contacted asking them to confirm they will be attending. Based on an evaluation of risk, consideration will also be given to the additional action described in</w:t>
      </w:r>
      <w:r w:rsidR="007D2DF1" w:rsidRPr="00D87F3A">
        <w:rPr>
          <w:spacing w:val="-1"/>
        </w:rPr>
        <w:t xml:space="preserve"> </w:t>
      </w:r>
      <w:r w:rsidR="007D2DF1" w:rsidRPr="00D87F3A">
        <w:t>6.2.</w:t>
      </w:r>
    </w:p>
    <w:p w:rsidR="00B90363" w:rsidRPr="00D87F3A" w:rsidRDefault="00B90363">
      <w:pPr>
        <w:pStyle w:val="BodyText"/>
        <w:spacing w:before="9"/>
        <w:rPr>
          <w:sz w:val="21"/>
        </w:rPr>
      </w:pPr>
    </w:p>
    <w:p w:rsidR="00B90363" w:rsidRPr="00D87F3A" w:rsidRDefault="007D2DF1">
      <w:pPr>
        <w:pStyle w:val="Heading2"/>
        <w:numPr>
          <w:ilvl w:val="1"/>
          <w:numId w:val="2"/>
        </w:numPr>
        <w:tabs>
          <w:tab w:val="left" w:pos="940"/>
          <w:tab w:val="left" w:pos="941"/>
        </w:tabs>
        <w:ind w:hanging="721"/>
        <w:rPr>
          <w:sz w:val="23"/>
          <w:szCs w:val="23"/>
        </w:rPr>
      </w:pPr>
      <w:r w:rsidRPr="00D87F3A">
        <w:rPr>
          <w:sz w:val="23"/>
          <w:szCs w:val="23"/>
        </w:rPr>
        <w:t xml:space="preserve">If a </w:t>
      </w:r>
      <w:r w:rsidR="00F30724" w:rsidRPr="00D87F3A">
        <w:rPr>
          <w:sz w:val="23"/>
          <w:szCs w:val="23"/>
        </w:rPr>
        <w:t>Client</w:t>
      </w:r>
      <w:r w:rsidRPr="00D87F3A">
        <w:rPr>
          <w:sz w:val="23"/>
          <w:szCs w:val="23"/>
        </w:rPr>
        <w:t xml:space="preserve"> DNAs or Cancels 3 Consecutive</w:t>
      </w:r>
      <w:r w:rsidRPr="00D87F3A">
        <w:rPr>
          <w:spacing w:val="-2"/>
          <w:sz w:val="23"/>
          <w:szCs w:val="23"/>
        </w:rPr>
        <w:t xml:space="preserve"> </w:t>
      </w:r>
      <w:r w:rsidRPr="00D87F3A">
        <w:rPr>
          <w:sz w:val="23"/>
          <w:szCs w:val="23"/>
        </w:rPr>
        <w:t>Appointments</w:t>
      </w:r>
    </w:p>
    <w:p w:rsidR="00B90363" w:rsidRPr="00D87F3A" w:rsidRDefault="00B90363">
      <w:pPr>
        <w:sectPr w:rsidR="00B90363" w:rsidRPr="00D87F3A">
          <w:pgSz w:w="11910" w:h="16840"/>
          <w:pgMar w:top="1580" w:right="1220" w:bottom="920" w:left="1220" w:header="0" w:footer="724" w:gutter="0"/>
          <w:cols w:space="720"/>
        </w:sectPr>
      </w:pPr>
    </w:p>
    <w:p w:rsidR="00B90363" w:rsidRPr="00D87F3A" w:rsidRDefault="00992E94" w:rsidP="00992E94">
      <w:pPr>
        <w:pStyle w:val="ListParagraph"/>
        <w:tabs>
          <w:tab w:val="left" w:pos="1147"/>
        </w:tabs>
        <w:spacing w:before="79"/>
        <w:ind w:right="244" w:firstLine="0"/>
      </w:pPr>
      <w:r w:rsidRPr="00D87F3A">
        <w:lastRenderedPageBreak/>
        <w:t>Whether in assessment or review</w:t>
      </w:r>
      <w:r w:rsidR="007D2DF1" w:rsidRPr="00D87F3A">
        <w:t xml:space="preserve">, the responsible clinician may review the case and consider case closure if a </w:t>
      </w:r>
      <w:r w:rsidR="00F30724" w:rsidRPr="00D87F3A">
        <w:t>client</w:t>
      </w:r>
      <w:r w:rsidR="007D2DF1" w:rsidRPr="00D87F3A">
        <w:t xml:space="preserve"> fails to attend on 3 or more occasions if appropriate*. If the level of risk is high, then the clinician should consider further actions to engage the </w:t>
      </w:r>
      <w:r w:rsidR="00F30724" w:rsidRPr="00D87F3A">
        <w:t>client</w:t>
      </w:r>
      <w:r w:rsidR="007D2DF1" w:rsidRPr="00D87F3A">
        <w:t xml:space="preserve"> such as those outlined in 6.2. The decision and rationale will be documented in the case notes. If the case is being considered for closure, then consideration should also be given to informing the </w:t>
      </w:r>
      <w:r w:rsidR="00F30724" w:rsidRPr="00D87F3A">
        <w:t>client</w:t>
      </w:r>
      <w:r w:rsidR="007D2DF1" w:rsidRPr="00D87F3A">
        <w:t xml:space="preserve"> about the possibility of case closure. Ultimately it should be a clinical decision as to whether a case should be closed or</w:t>
      </w:r>
      <w:r w:rsidR="007D2DF1" w:rsidRPr="00D87F3A">
        <w:rPr>
          <w:spacing w:val="-4"/>
        </w:rPr>
        <w:t xml:space="preserve"> </w:t>
      </w:r>
      <w:r w:rsidR="007D2DF1" w:rsidRPr="00D87F3A">
        <w:t>not.</w:t>
      </w:r>
    </w:p>
    <w:p w:rsidR="0092735E" w:rsidRPr="00D87F3A" w:rsidRDefault="0092735E" w:rsidP="00992E94">
      <w:pPr>
        <w:pStyle w:val="ListParagraph"/>
        <w:tabs>
          <w:tab w:val="left" w:pos="1147"/>
        </w:tabs>
        <w:spacing w:before="79"/>
        <w:ind w:right="244" w:firstLine="0"/>
      </w:pPr>
    </w:p>
    <w:p w:rsidR="0092735E" w:rsidRPr="00D87F3A" w:rsidRDefault="0092735E" w:rsidP="0092735E">
      <w:pPr>
        <w:ind w:left="940"/>
      </w:pPr>
      <w:r w:rsidRPr="00D87F3A">
        <w:t xml:space="preserve">The Clinician will have a duty of care towards the client and will have to make a referral to Safe Guarding for both adult or child as this is can be a concern for the clients safe guarding. </w:t>
      </w:r>
    </w:p>
    <w:p w:rsidR="00B90363" w:rsidRPr="00D87F3A" w:rsidRDefault="00B90363">
      <w:pPr>
        <w:pStyle w:val="BodyText"/>
        <w:spacing w:before="10"/>
        <w:rPr>
          <w:sz w:val="21"/>
        </w:rPr>
      </w:pPr>
    </w:p>
    <w:p w:rsidR="00B90363" w:rsidRPr="00D87F3A" w:rsidRDefault="00B90363">
      <w:pPr>
        <w:pStyle w:val="BodyText"/>
        <w:spacing w:before="8"/>
        <w:rPr>
          <w:i/>
          <w:sz w:val="19"/>
        </w:rPr>
      </w:pPr>
    </w:p>
    <w:p w:rsidR="00B90363" w:rsidRPr="00D87F3A" w:rsidRDefault="007D2DF1">
      <w:pPr>
        <w:pStyle w:val="Heading2"/>
        <w:numPr>
          <w:ilvl w:val="1"/>
          <w:numId w:val="2"/>
        </w:numPr>
        <w:tabs>
          <w:tab w:val="left" w:pos="940"/>
          <w:tab w:val="left" w:pos="941"/>
        </w:tabs>
        <w:spacing w:before="1"/>
        <w:ind w:hanging="721"/>
        <w:rPr>
          <w:sz w:val="23"/>
          <w:szCs w:val="23"/>
        </w:rPr>
      </w:pPr>
      <w:r w:rsidRPr="00D87F3A">
        <w:rPr>
          <w:sz w:val="23"/>
          <w:szCs w:val="23"/>
        </w:rPr>
        <w:t xml:space="preserve">Risk Assessment of </w:t>
      </w:r>
      <w:r w:rsidR="00F30724" w:rsidRPr="00D87F3A">
        <w:rPr>
          <w:sz w:val="23"/>
          <w:szCs w:val="23"/>
        </w:rPr>
        <w:t>Client</w:t>
      </w:r>
      <w:r w:rsidRPr="00D87F3A">
        <w:rPr>
          <w:sz w:val="23"/>
          <w:szCs w:val="23"/>
        </w:rPr>
        <w:t>s who</w:t>
      </w:r>
      <w:r w:rsidRPr="00D87F3A">
        <w:rPr>
          <w:spacing w:val="-1"/>
          <w:sz w:val="23"/>
          <w:szCs w:val="23"/>
        </w:rPr>
        <w:t xml:space="preserve"> </w:t>
      </w:r>
      <w:r w:rsidRPr="00D87F3A">
        <w:rPr>
          <w:sz w:val="23"/>
          <w:szCs w:val="23"/>
        </w:rPr>
        <w:t>DNA</w:t>
      </w:r>
    </w:p>
    <w:p w:rsidR="00B90363" w:rsidRPr="00D87F3A" w:rsidRDefault="00B90363">
      <w:pPr>
        <w:pStyle w:val="BodyText"/>
        <w:spacing w:before="2"/>
        <w:rPr>
          <w:b/>
        </w:rPr>
      </w:pPr>
    </w:p>
    <w:p w:rsidR="00B90363" w:rsidRPr="00D87F3A" w:rsidRDefault="007D2DF1">
      <w:pPr>
        <w:pStyle w:val="ListParagraph"/>
        <w:numPr>
          <w:ilvl w:val="2"/>
          <w:numId w:val="2"/>
        </w:numPr>
        <w:tabs>
          <w:tab w:val="left" w:pos="1147"/>
        </w:tabs>
        <w:spacing w:before="1"/>
        <w:ind w:left="940" w:right="585" w:firstLine="0"/>
      </w:pPr>
      <w:r w:rsidRPr="00D87F3A">
        <w:t xml:space="preserve">In all cases when </w:t>
      </w:r>
      <w:r w:rsidR="00F30724" w:rsidRPr="00D87F3A">
        <w:t>client</w:t>
      </w:r>
      <w:r w:rsidRPr="00D87F3A">
        <w:t>s fail to attend, their case file should be reviewed to identify if there are any risk indicators that require following up and/or contact with other agencies to ensure the on-going safety and wellbeing to the</w:t>
      </w:r>
      <w:r w:rsidRPr="00D87F3A">
        <w:rPr>
          <w:spacing w:val="-18"/>
        </w:rPr>
        <w:t xml:space="preserve"> </w:t>
      </w:r>
      <w:r w:rsidR="00F30724" w:rsidRPr="00D87F3A">
        <w:t>client</w:t>
      </w:r>
      <w:r w:rsidRPr="00D87F3A">
        <w:t>.</w:t>
      </w:r>
    </w:p>
    <w:p w:rsidR="00B90363" w:rsidRPr="00D87F3A" w:rsidRDefault="00B90363">
      <w:pPr>
        <w:pStyle w:val="BodyText"/>
        <w:spacing w:before="10"/>
        <w:rPr>
          <w:sz w:val="21"/>
        </w:rPr>
      </w:pPr>
    </w:p>
    <w:p w:rsidR="00B90363" w:rsidRPr="00D87F3A" w:rsidRDefault="007D2DF1">
      <w:pPr>
        <w:pStyle w:val="ListParagraph"/>
        <w:numPr>
          <w:ilvl w:val="2"/>
          <w:numId w:val="2"/>
        </w:numPr>
        <w:tabs>
          <w:tab w:val="left" w:pos="1147"/>
        </w:tabs>
        <w:ind w:left="940" w:right="340" w:firstLine="0"/>
      </w:pPr>
      <w:r w:rsidRPr="00D87F3A">
        <w:t xml:space="preserve">In the event that the </w:t>
      </w:r>
      <w:r w:rsidR="00F30724" w:rsidRPr="00D87F3A">
        <w:t>client</w:t>
      </w:r>
      <w:r w:rsidRPr="00D87F3A">
        <w:t xml:space="preserve"> is deemed to be at risk the GP or other services may be contacted to alert them to the DNA(s). In appropriate cases efforts may be made to contact the </w:t>
      </w:r>
      <w:r w:rsidR="00F30724" w:rsidRPr="00D87F3A">
        <w:t>client</w:t>
      </w:r>
      <w:r w:rsidRPr="00D87F3A">
        <w:t xml:space="preserve"> to check on their</w:t>
      </w:r>
      <w:r w:rsidRPr="00D87F3A">
        <w:rPr>
          <w:spacing w:val="-6"/>
        </w:rPr>
        <w:t xml:space="preserve"> </w:t>
      </w:r>
      <w:r w:rsidRPr="00D87F3A">
        <w:t>wellbeing</w:t>
      </w:r>
    </w:p>
    <w:p w:rsidR="00B90363" w:rsidRPr="00D87F3A" w:rsidRDefault="00B90363">
      <w:pPr>
        <w:pStyle w:val="BodyText"/>
        <w:spacing w:before="10"/>
        <w:rPr>
          <w:sz w:val="21"/>
        </w:rPr>
      </w:pPr>
    </w:p>
    <w:p w:rsidR="00B90363" w:rsidRPr="00D87F3A" w:rsidRDefault="007D2DF1">
      <w:pPr>
        <w:pStyle w:val="ListParagraph"/>
        <w:numPr>
          <w:ilvl w:val="2"/>
          <w:numId w:val="2"/>
        </w:numPr>
        <w:tabs>
          <w:tab w:val="left" w:pos="1147"/>
        </w:tabs>
        <w:ind w:left="1146" w:hanging="207"/>
      </w:pPr>
      <w:r w:rsidRPr="00D87F3A">
        <w:t xml:space="preserve">Any actions taken in response to DNA must be noted in the </w:t>
      </w:r>
      <w:r w:rsidR="00F30724" w:rsidRPr="00D87F3A">
        <w:t>client</w:t>
      </w:r>
      <w:r w:rsidRPr="00D87F3A">
        <w:t>’s</w:t>
      </w:r>
      <w:r w:rsidRPr="00D87F3A">
        <w:rPr>
          <w:spacing w:val="-27"/>
        </w:rPr>
        <w:t xml:space="preserve"> </w:t>
      </w:r>
      <w:r w:rsidRPr="00D87F3A">
        <w:t>file</w:t>
      </w:r>
    </w:p>
    <w:p w:rsidR="00B90363" w:rsidRPr="00D87F3A" w:rsidRDefault="00B90363">
      <w:pPr>
        <w:pStyle w:val="BodyText"/>
        <w:rPr>
          <w:sz w:val="26"/>
        </w:rPr>
      </w:pPr>
    </w:p>
    <w:p w:rsidR="00B90363" w:rsidRPr="00D87F3A" w:rsidRDefault="00B90363">
      <w:pPr>
        <w:pStyle w:val="BodyText"/>
        <w:rPr>
          <w:sz w:val="20"/>
        </w:rPr>
      </w:pPr>
    </w:p>
    <w:p w:rsidR="00B90363" w:rsidRPr="00D87F3A" w:rsidRDefault="005B08F4" w:rsidP="005B08F4">
      <w:pPr>
        <w:pStyle w:val="BodyText"/>
        <w:numPr>
          <w:ilvl w:val="0"/>
          <w:numId w:val="6"/>
        </w:numPr>
        <w:spacing w:before="4"/>
        <w:rPr>
          <w:b/>
          <w:sz w:val="23"/>
          <w:szCs w:val="23"/>
        </w:rPr>
      </w:pPr>
      <w:r w:rsidRPr="00D87F3A">
        <w:rPr>
          <w:b/>
          <w:sz w:val="23"/>
          <w:szCs w:val="23"/>
        </w:rPr>
        <w:t>Training Requirements</w:t>
      </w:r>
    </w:p>
    <w:p w:rsidR="00B90363" w:rsidRPr="00D87F3A" w:rsidRDefault="00B90363">
      <w:pPr>
        <w:pStyle w:val="BodyText"/>
        <w:spacing w:before="9"/>
        <w:rPr>
          <w:sz w:val="10"/>
        </w:rPr>
      </w:pPr>
    </w:p>
    <w:p w:rsidR="00B90363" w:rsidRPr="00D87F3A" w:rsidRDefault="007D2DF1">
      <w:pPr>
        <w:pStyle w:val="ListParagraph"/>
        <w:numPr>
          <w:ilvl w:val="2"/>
          <w:numId w:val="2"/>
        </w:numPr>
        <w:tabs>
          <w:tab w:val="left" w:pos="1147"/>
        </w:tabs>
        <w:spacing w:before="103" w:line="237" w:lineRule="auto"/>
        <w:ind w:left="940" w:right="1091" w:firstLine="0"/>
      </w:pPr>
      <w:r w:rsidRPr="00D87F3A">
        <w:t xml:space="preserve">New administrative staff who manage </w:t>
      </w:r>
      <w:r w:rsidR="00F30724" w:rsidRPr="00D87F3A">
        <w:t>client</w:t>
      </w:r>
      <w:r w:rsidRPr="00D87F3A">
        <w:t xml:space="preserve"> data will have this procedure explained to them as part of their</w:t>
      </w:r>
      <w:r w:rsidRPr="00D87F3A">
        <w:rPr>
          <w:spacing w:val="-5"/>
        </w:rPr>
        <w:t xml:space="preserve"> </w:t>
      </w:r>
      <w:r w:rsidRPr="00D87F3A">
        <w:t>induction.</w:t>
      </w:r>
    </w:p>
    <w:p w:rsidR="00B90363" w:rsidRPr="00D87F3A" w:rsidRDefault="00B90363">
      <w:pPr>
        <w:pStyle w:val="BodyText"/>
      </w:pPr>
    </w:p>
    <w:p w:rsidR="00B90363" w:rsidRPr="00D87F3A" w:rsidRDefault="007D2DF1">
      <w:pPr>
        <w:pStyle w:val="ListParagraph"/>
        <w:numPr>
          <w:ilvl w:val="2"/>
          <w:numId w:val="2"/>
        </w:numPr>
        <w:tabs>
          <w:tab w:val="left" w:pos="1147"/>
        </w:tabs>
        <w:ind w:left="940" w:right="434" w:firstLine="0"/>
      </w:pPr>
      <w:r w:rsidRPr="00D87F3A">
        <w:t>New clinical staff are required to familiarise themselves with this procedure which will be included in the clinical governance</w:t>
      </w:r>
      <w:r w:rsidRPr="00D87F3A">
        <w:rPr>
          <w:spacing w:val="-3"/>
        </w:rPr>
        <w:t xml:space="preserve"> </w:t>
      </w:r>
      <w:r w:rsidRPr="00D87F3A">
        <w:t>handbook.</w:t>
      </w:r>
    </w:p>
    <w:p w:rsidR="00B90363" w:rsidRPr="00D87F3A" w:rsidRDefault="00B90363">
      <w:pPr>
        <w:pStyle w:val="BodyText"/>
      </w:pPr>
    </w:p>
    <w:p w:rsidR="0050334B" w:rsidRDefault="007D2DF1" w:rsidP="00721F25">
      <w:pPr>
        <w:pStyle w:val="ListParagraph"/>
        <w:numPr>
          <w:ilvl w:val="2"/>
          <w:numId w:val="2"/>
        </w:numPr>
        <w:tabs>
          <w:tab w:val="left" w:pos="1147"/>
        </w:tabs>
        <w:ind w:left="940" w:right="233" w:firstLine="0"/>
      </w:pPr>
      <w:r w:rsidRPr="00D87F3A">
        <w:t xml:space="preserve">All staff required to access and/or enter data on the electronic </w:t>
      </w:r>
      <w:r w:rsidR="00F30724" w:rsidRPr="00D87F3A">
        <w:t>client</w:t>
      </w:r>
      <w:r w:rsidRPr="00D87F3A">
        <w:t xml:space="preserve"> system will receive specific train</w:t>
      </w:r>
      <w:bookmarkStart w:id="0" w:name="_GoBack"/>
      <w:bookmarkEnd w:id="0"/>
      <w:r w:rsidRPr="00D87F3A">
        <w:t>ing before personal access is arranged.</w:t>
      </w:r>
    </w:p>
    <w:p w:rsidR="0050334B" w:rsidRDefault="0050334B" w:rsidP="00721F25">
      <w:pPr>
        <w:pStyle w:val="ListParagraph"/>
      </w:pPr>
    </w:p>
    <w:p w:rsidR="00B90363" w:rsidRPr="00D87F3A" w:rsidRDefault="00B90363">
      <w:pPr>
        <w:pStyle w:val="Heading2"/>
        <w:tabs>
          <w:tab w:val="right" w:leader="dot" w:pos="4695"/>
        </w:tabs>
        <w:spacing w:before="758"/>
        <w:ind w:left="0" w:firstLine="0"/>
        <w:jc w:val="both"/>
      </w:pPr>
    </w:p>
    <w:sectPr w:rsidR="00B90363" w:rsidRPr="00D87F3A" w:rsidSect="009958A5">
      <w:pgSz w:w="11910" w:h="16840"/>
      <w:pgMar w:top="1580" w:right="1220" w:bottom="920" w:left="1220" w:header="0" w:footer="7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739" w:rsidRDefault="00DD0739">
      <w:r>
        <w:separator/>
      </w:r>
    </w:p>
  </w:endnote>
  <w:endnote w:type="continuationSeparator" w:id="0">
    <w:p w:rsidR="00DD0739" w:rsidRDefault="00DD07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0000000000000"/>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63" w:rsidRDefault="009958A5">
    <w:pPr>
      <w:pStyle w:val="BodyText"/>
      <w:spacing w:line="14" w:lineRule="auto"/>
      <w:rPr>
        <w:sz w:val="20"/>
      </w:rPr>
    </w:pPr>
    <w:r w:rsidRPr="009958A5">
      <w:rPr>
        <w:noProof/>
        <w:lang w:bidi="ar-SA"/>
      </w:rPr>
      <w:pict>
        <v:shapetype id="_x0000_t202" coordsize="21600,21600" o:spt="202" path="m,l,21600r21600,l21600,xe">
          <v:stroke joinstyle="miter"/>
          <v:path gradientshapeok="t" o:connecttype="rect"/>
        </v:shapetype>
        <v:shape id="Text Box 2" o:spid="_x0000_s4098" type="#_x0000_t202" style="position:absolute;margin-left:107pt;margin-top:794.75pt;width:287.25pt;height:12.65pt;z-index:-252179456;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" filled="f" stroked="f">
          <v:textbox inset="0,0,0,0">
            <w:txbxContent>
              <w:p w:rsidR="00B90363" w:rsidRDefault="007D2DF1">
                <w:pPr>
                  <w:spacing w:before="13"/>
                  <w:ind w:left="20"/>
                  <w:rPr>
                    <w:rFonts w:ascii="Lucida Sans"/>
                    <w:i/>
                    <w:sz w:val="18"/>
                  </w:rPr>
                </w:pPr>
                <w:r>
                  <w:rPr>
                    <w:rFonts w:ascii="Lucida Sans"/>
                    <w:i/>
                    <w:sz w:val="18"/>
                  </w:rPr>
                  <w:t>Managing</w:t>
                </w:r>
                <w:r>
                  <w:rPr>
                    <w:rFonts w:ascii="Lucida Sans"/>
                    <w:i/>
                    <w:spacing w:val="-30"/>
                    <w:sz w:val="18"/>
                  </w:rPr>
                  <w:t xml:space="preserve"> </w:t>
                </w:r>
                <w:r>
                  <w:rPr>
                    <w:rFonts w:ascii="Lucida Sans"/>
                    <w:i/>
                    <w:sz w:val="18"/>
                  </w:rPr>
                  <w:t>DNA</w:t>
                </w:r>
                <w:r>
                  <w:rPr>
                    <w:rFonts w:ascii="Lucida Sans"/>
                    <w:i/>
                    <w:spacing w:val="-30"/>
                    <w:sz w:val="18"/>
                  </w:rPr>
                  <w:t xml:space="preserve"> </w:t>
                </w:r>
                <w:r>
                  <w:rPr>
                    <w:rFonts w:ascii="Lucida Sans"/>
                    <w:i/>
                    <w:sz w:val="18"/>
                  </w:rPr>
                  <w:t>and</w:t>
                </w:r>
                <w:r>
                  <w:rPr>
                    <w:rFonts w:ascii="Lucida Sans"/>
                    <w:i/>
                    <w:spacing w:val="-30"/>
                    <w:sz w:val="18"/>
                  </w:rPr>
                  <w:t xml:space="preserve"> </w:t>
                </w:r>
                <w:r>
                  <w:rPr>
                    <w:rFonts w:ascii="Lucida Sans"/>
                    <w:i/>
                    <w:sz w:val="18"/>
                  </w:rPr>
                  <w:t>cancelled</w:t>
                </w:r>
                <w:r>
                  <w:rPr>
                    <w:rFonts w:ascii="Lucida Sans"/>
                    <w:i/>
                    <w:spacing w:val="-30"/>
                    <w:sz w:val="18"/>
                  </w:rPr>
                  <w:t xml:space="preserve"> </w:t>
                </w:r>
                <w:r>
                  <w:rPr>
                    <w:rFonts w:ascii="Lucida Sans"/>
                    <w:i/>
                    <w:sz w:val="18"/>
                  </w:rPr>
                  <w:t>appointments</w:t>
                </w:r>
                <w:r>
                  <w:rPr>
                    <w:rFonts w:ascii="Lucida Sans"/>
                    <w:i/>
                    <w:spacing w:val="-30"/>
                    <w:sz w:val="18"/>
                  </w:rPr>
                  <w:t xml:space="preserve"> </w:t>
                </w:r>
                <w:r>
                  <w:rPr>
                    <w:rFonts w:ascii="Lucida Sans"/>
                    <w:i/>
                    <w:sz w:val="18"/>
                  </w:rPr>
                  <w:t>procedure,</w:t>
                </w:r>
                <w:r>
                  <w:rPr>
                    <w:rFonts w:ascii="Lucida Sans"/>
                    <w:i/>
                    <w:spacing w:val="-30"/>
                    <w:sz w:val="18"/>
                  </w:rPr>
                  <w:t xml:space="preserve"> </w:t>
                </w:r>
                <w:r w:rsidR="00D87F3A">
                  <w:rPr>
                    <w:rFonts w:ascii="Lucida Sans"/>
                    <w:i/>
                    <w:sz w:val="18"/>
                  </w:rPr>
                  <w:t>CES 2020</w:t>
                </w:r>
              </w:p>
            </w:txbxContent>
          </v:textbox>
          <w10:wrap anchorx="page" anchory="page"/>
        </v:shape>
      </w:pict>
    </w:r>
    <w:r w:rsidRPr="009958A5">
      <w:rPr>
        <w:noProof/>
        <w:lang w:bidi="ar-SA"/>
      </w:rPr>
      <w:pict>
        <v:shape id="Text Box 1" o:spid="_x0000_s4097" type="#_x0000_t202" style="position:absolute;margin-left:481.6pt;margin-top:796.35pt;width:42.95pt;height:11pt;z-index:-252178432;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" filled="f" stroked="f">
          <v:textbox inset="0,0,0,0">
            <w:txbxContent>
              <w:p w:rsidR="00B90363" w:rsidRDefault="007D2DF1">
                <w:pPr>
                  <w:spacing w:line="203" w:lineRule="exact"/>
                  <w:ind w:left="20"/>
                  <w:rPr>
                    <w:rFonts w:ascii="Calibri"/>
                    <w:b/>
                    <w:i/>
                    <w:sz w:val="18"/>
                  </w:rPr>
                </w:pPr>
                <w:r>
                  <w:rPr>
                    <w:rFonts w:ascii="Calibri"/>
                    <w:i/>
                    <w:sz w:val="18"/>
                  </w:rPr>
                  <w:t xml:space="preserve">Page </w:t>
                </w:r>
                <w:r w:rsidR="009958A5">
                  <w:fldChar w:fldCharType="begin"/>
                </w:r>
                <w:r>
                  <w:rPr>
                    <w:rFonts w:ascii="Calibri"/>
                    <w:b/>
                    <w:i/>
                    <w:sz w:val="18"/>
                  </w:rPr>
                  <w:instrText xml:space="preserve"> PAGE </w:instrText>
                </w:r>
                <w:r w:rsidR="009958A5">
                  <w:fldChar w:fldCharType="separate"/>
                </w:r>
                <w:r w:rsidR="00B63B51">
                  <w:rPr>
                    <w:rFonts w:ascii="Calibri"/>
                    <w:b/>
                    <w:i/>
                    <w:noProof/>
                    <w:sz w:val="18"/>
                  </w:rPr>
                  <w:t>5</w:t>
                </w:r>
                <w:r w:rsidR="009958A5">
                  <w:fldChar w:fldCharType="end"/>
                </w:r>
                <w:r>
                  <w:rPr>
                    <w:rFonts w:ascii="Calibri"/>
                    <w:b/>
                    <w:i/>
                    <w:sz w:val="18"/>
                  </w:rPr>
                  <w:t xml:space="preserve"> </w:t>
                </w:r>
                <w:r>
                  <w:rPr>
                    <w:rFonts w:ascii="Calibri"/>
                    <w:i/>
                    <w:sz w:val="18"/>
                  </w:rPr>
                  <w:t xml:space="preserve">of </w:t>
                </w:r>
                <w:r>
                  <w:rPr>
                    <w:rFonts w:ascii="Calibri"/>
                    <w:b/>
                    <w:i/>
                    <w:sz w:val="18"/>
                  </w:rPr>
                  <w:t>8</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739" w:rsidRDefault="00DD0739">
      <w:r>
        <w:separator/>
      </w:r>
    </w:p>
  </w:footnote>
  <w:footnote w:type="continuationSeparator" w:id="0">
    <w:p w:rsidR="00DD0739" w:rsidRDefault="00DD07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B5E58"/>
    <w:multiLevelType w:val="hybridMultilevel"/>
    <w:tmpl w:val="3C980342"/>
    <w:lvl w:ilvl="0" w:tplc="47EC97CE">
      <w:numFmt w:val="bullet"/>
      <w:lvlText w:val=""/>
      <w:lvlJc w:val="left"/>
      <w:pPr>
        <w:ind w:left="940" w:hanging="360"/>
      </w:pPr>
      <w:rPr>
        <w:rFonts w:ascii="Symbol" w:eastAsia="Symbol" w:hAnsi="Symbol" w:cs="Symbol" w:hint="default"/>
        <w:w w:val="105"/>
        <w:sz w:val="22"/>
        <w:szCs w:val="22"/>
        <w:lang w:val="en-GB" w:eastAsia="en-GB" w:bidi="en-GB"/>
      </w:rPr>
    </w:lvl>
    <w:lvl w:ilvl="1" w:tplc="5170AF6A">
      <w:numFmt w:val="bullet"/>
      <w:lvlText w:val="•"/>
      <w:lvlJc w:val="left"/>
      <w:pPr>
        <w:ind w:left="1792" w:hanging="360"/>
      </w:pPr>
      <w:rPr>
        <w:rFonts w:hint="default"/>
        <w:lang w:val="en-GB" w:eastAsia="en-GB" w:bidi="en-GB"/>
      </w:rPr>
    </w:lvl>
    <w:lvl w:ilvl="2" w:tplc="1D5A5F5E">
      <w:numFmt w:val="bullet"/>
      <w:lvlText w:val="•"/>
      <w:lvlJc w:val="left"/>
      <w:pPr>
        <w:ind w:left="2645" w:hanging="360"/>
      </w:pPr>
      <w:rPr>
        <w:rFonts w:hint="default"/>
        <w:lang w:val="en-GB" w:eastAsia="en-GB" w:bidi="en-GB"/>
      </w:rPr>
    </w:lvl>
    <w:lvl w:ilvl="3" w:tplc="0C624DAA">
      <w:numFmt w:val="bullet"/>
      <w:lvlText w:val="•"/>
      <w:lvlJc w:val="left"/>
      <w:pPr>
        <w:ind w:left="3497" w:hanging="360"/>
      </w:pPr>
      <w:rPr>
        <w:rFonts w:hint="default"/>
        <w:lang w:val="en-GB" w:eastAsia="en-GB" w:bidi="en-GB"/>
      </w:rPr>
    </w:lvl>
    <w:lvl w:ilvl="4" w:tplc="F03A947C">
      <w:numFmt w:val="bullet"/>
      <w:lvlText w:val="•"/>
      <w:lvlJc w:val="left"/>
      <w:pPr>
        <w:ind w:left="4350" w:hanging="360"/>
      </w:pPr>
      <w:rPr>
        <w:rFonts w:hint="default"/>
        <w:lang w:val="en-GB" w:eastAsia="en-GB" w:bidi="en-GB"/>
      </w:rPr>
    </w:lvl>
    <w:lvl w:ilvl="5" w:tplc="E1BC9F22">
      <w:numFmt w:val="bullet"/>
      <w:lvlText w:val="•"/>
      <w:lvlJc w:val="left"/>
      <w:pPr>
        <w:ind w:left="5203" w:hanging="360"/>
      </w:pPr>
      <w:rPr>
        <w:rFonts w:hint="default"/>
        <w:lang w:val="en-GB" w:eastAsia="en-GB" w:bidi="en-GB"/>
      </w:rPr>
    </w:lvl>
    <w:lvl w:ilvl="6" w:tplc="70CCCA4E">
      <w:numFmt w:val="bullet"/>
      <w:lvlText w:val="•"/>
      <w:lvlJc w:val="left"/>
      <w:pPr>
        <w:ind w:left="6055" w:hanging="360"/>
      </w:pPr>
      <w:rPr>
        <w:rFonts w:hint="default"/>
        <w:lang w:val="en-GB" w:eastAsia="en-GB" w:bidi="en-GB"/>
      </w:rPr>
    </w:lvl>
    <w:lvl w:ilvl="7" w:tplc="A5F89452">
      <w:numFmt w:val="bullet"/>
      <w:lvlText w:val="•"/>
      <w:lvlJc w:val="left"/>
      <w:pPr>
        <w:ind w:left="6908" w:hanging="360"/>
      </w:pPr>
      <w:rPr>
        <w:rFonts w:hint="default"/>
        <w:lang w:val="en-GB" w:eastAsia="en-GB" w:bidi="en-GB"/>
      </w:rPr>
    </w:lvl>
    <w:lvl w:ilvl="8" w:tplc="7C6A94F4">
      <w:numFmt w:val="bullet"/>
      <w:lvlText w:val="•"/>
      <w:lvlJc w:val="left"/>
      <w:pPr>
        <w:ind w:left="7761" w:hanging="360"/>
      </w:pPr>
      <w:rPr>
        <w:rFonts w:hint="default"/>
        <w:lang w:val="en-GB" w:eastAsia="en-GB" w:bidi="en-GB"/>
      </w:rPr>
    </w:lvl>
  </w:abstractNum>
  <w:abstractNum w:abstractNumId="1">
    <w:nsid w:val="14A411D1"/>
    <w:multiLevelType w:val="multilevel"/>
    <w:tmpl w:val="662617B6"/>
    <w:lvl w:ilvl="0">
      <w:start w:val="5"/>
      <w:numFmt w:val="decimal"/>
      <w:lvlText w:val="%1"/>
      <w:lvlJc w:val="left"/>
      <w:pPr>
        <w:ind w:left="940" w:hanging="720"/>
        <w:jc w:val="left"/>
      </w:pPr>
      <w:rPr>
        <w:rFonts w:hint="default"/>
        <w:lang w:val="en-GB" w:eastAsia="en-GB" w:bidi="en-GB"/>
      </w:rPr>
    </w:lvl>
    <w:lvl w:ilvl="1">
      <w:start w:val="1"/>
      <w:numFmt w:val="decimal"/>
      <w:lvlText w:val="%1.%2"/>
      <w:lvlJc w:val="left"/>
      <w:pPr>
        <w:ind w:left="940" w:hanging="720"/>
        <w:jc w:val="left"/>
      </w:pPr>
      <w:rPr>
        <w:rFonts w:ascii="Arial" w:eastAsia="Arial" w:hAnsi="Arial" w:cs="Arial" w:hint="default"/>
        <w:b/>
        <w:bCs/>
        <w:w w:val="100"/>
        <w:sz w:val="22"/>
        <w:szCs w:val="22"/>
        <w:lang w:val="en-GB" w:eastAsia="en-GB" w:bidi="en-GB"/>
      </w:rPr>
    </w:lvl>
    <w:lvl w:ilvl="2">
      <w:numFmt w:val="bullet"/>
      <w:lvlText w:val="•"/>
      <w:lvlJc w:val="left"/>
      <w:pPr>
        <w:ind w:left="2645" w:hanging="720"/>
      </w:pPr>
      <w:rPr>
        <w:rFonts w:hint="default"/>
        <w:lang w:val="en-GB" w:eastAsia="en-GB" w:bidi="en-GB"/>
      </w:rPr>
    </w:lvl>
    <w:lvl w:ilvl="3">
      <w:numFmt w:val="bullet"/>
      <w:lvlText w:val="•"/>
      <w:lvlJc w:val="left"/>
      <w:pPr>
        <w:ind w:left="3497" w:hanging="720"/>
      </w:pPr>
      <w:rPr>
        <w:rFonts w:hint="default"/>
        <w:lang w:val="en-GB" w:eastAsia="en-GB" w:bidi="en-GB"/>
      </w:rPr>
    </w:lvl>
    <w:lvl w:ilvl="4">
      <w:numFmt w:val="bullet"/>
      <w:lvlText w:val="•"/>
      <w:lvlJc w:val="left"/>
      <w:pPr>
        <w:ind w:left="4350" w:hanging="720"/>
      </w:pPr>
      <w:rPr>
        <w:rFonts w:hint="default"/>
        <w:lang w:val="en-GB" w:eastAsia="en-GB" w:bidi="en-GB"/>
      </w:rPr>
    </w:lvl>
    <w:lvl w:ilvl="5">
      <w:numFmt w:val="bullet"/>
      <w:lvlText w:val="•"/>
      <w:lvlJc w:val="left"/>
      <w:pPr>
        <w:ind w:left="5203" w:hanging="720"/>
      </w:pPr>
      <w:rPr>
        <w:rFonts w:hint="default"/>
        <w:lang w:val="en-GB" w:eastAsia="en-GB" w:bidi="en-GB"/>
      </w:rPr>
    </w:lvl>
    <w:lvl w:ilvl="6">
      <w:numFmt w:val="bullet"/>
      <w:lvlText w:val="•"/>
      <w:lvlJc w:val="left"/>
      <w:pPr>
        <w:ind w:left="6055" w:hanging="720"/>
      </w:pPr>
      <w:rPr>
        <w:rFonts w:hint="default"/>
        <w:lang w:val="en-GB" w:eastAsia="en-GB" w:bidi="en-GB"/>
      </w:rPr>
    </w:lvl>
    <w:lvl w:ilvl="7">
      <w:numFmt w:val="bullet"/>
      <w:lvlText w:val="•"/>
      <w:lvlJc w:val="left"/>
      <w:pPr>
        <w:ind w:left="6908" w:hanging="720"/>
      </w:pPr>
      <w:rPr>
        <w:rFonts w:hint="default"/>
        <w:lang w:val="en-GB" w:eastAsia="en-GB" w:bidi="en-GB"/>
      </w:rPr>
    </w:lvl>
    <w:lvl w:ilvl="8">
      <w:numFmt w:val="bullet"/>
      <w:lvlText w:val="•"/>
      <w:lvlJc w:val="left"/>
      <w:pPr>
        <w:ind w:left="7761" w:hanging="720"/>
      </w:pPr>
      <w:rPr>
        <w:rFonts w:hint="default"/>
        <w:lang w:val="en-GB" w:eastAsia="en-GB" w:bidi="en-GB"/>
      </w:rPr>
    </w:lvl>
  </w:abstractNum>
  <w:abstractNum w:abstractNumId="2">
    <w:nsid w:val="18EC58B6"/>
    <w:multiLevelType w:val="hybridMultilevel"/>
    <w:tmpl w:val="FA44A9B2"/>
    <w:lvl w:ilvl="0" w:tplc="87C6467E">
      <w:start w:val="1"/>
      <w:numFmt w:val="decimal"/>
      <w:lvlText w:val="%1"/>
      <w:lvlJc w:val="left"/>
      <w:pPr>
        <w:ind w:left="880" w:hanging="440"/>
        <w:jc w:val="left"/>
      </w:pPr>
      <w:rPr>
        <w:rFonts w:ascii="Calibri" w:eastAsia="Calibri" w:hAnsi="Calibri" w:cs="Calibri" w:hint="default"/>
        <w:color w:val="006FC0"/>
        <w:w w:val="109"/>
        <w:sz w:val="32"/>
        <w:szCs w:val="32"/>
        <w:lang w:val="en-GB" w:eastAsia="en-GB" w:bidi="en-GB"/>
      </w:rPr>
    </w:lvl>
    <w:lvl w:ilvl="1" w:tplc="D42C4D24">
      <w:numFmt w:val="bullet"/>
      <w:lvlText w:val="•"/>
      <w:lvlJc w:val="left"/>
      <w:pPr>
        <w:ind w:left="1738" w:hanging="440"/>
      </w:pPr>
      <w:rPr>
        <w:rFonts w:hint="default"/>
        <w:lang w:val="en-GB" w:eastAsia="en-GB" w:bidi="en-GB"/>
      </w:rPr>
    </w:lvl>
    <w:lvl w:ilvl="2" w:tplc="EDE62BB6">
      <w:numFmt w:val="bullet"/>
      <w:lvlText w:val="•"/>
      <w:lvlJc w:val="left"/>
      <w:pPr>
        <w:ind w:left="2597" w:hanging="440"/>
      </w:pPr>
      <w:rPr>
        <w:rFonts w:hint="default"/>
        <w:lang w:val="en-GB" w:eastAsia="en-GB" w:bidi="en-GB"/>
      </w:rPr>
    </w:lvl>
    <w:lvl w:ilvl="3" w:tplc="68A617BA">
      <w:numFmt w:val="bullet"/>
      <w:lvlText w:val="•"/>
      <w:lvlJc w:val="left"/>
      <w:pPr>
        <w:ind w:left="3455" w:hanging="440"/>
      </w:pPr>
      <w:rPr>
        <w:rFonts w:hint="default"/>
        <w:lang w:val="en-GB" w:eastAsia="en-GB" w:bidi="en-GB"/>
      </w:rPr>
    </w:lvl>
    <w:lvl w:ilvl="4" w:tplc="95C8B198">
      <w:numFmt w:val="bullet"/>
      <w:lvlText w:val="•"/>
      <w:lvlJc w:val="left"/>
      <w:pPr>
        <w:ind w:left="4314" w:hanging="440"/>
      </w:pPr>
      <w:rPr>
        <w:rFonts w:hint="default"/>
        <w:lang w:val="en-GB" w:eastAsia="en-GB" w:bidi="en-GB"/>
      </w:rPr>
    </w:lvl>
    <w:lvl w:ilvl="5" w:tplc="A52AB01A">
      <w:numFmt w:val="bullet"/>
      <w:lvlText w:val="•"/>
      <w:lvlJc w:val="left"/>
      <w:pPr>
        <w:ind w:left="5173" w:hanging="440"/>
      </w:pPr>
      <w:rPr>
        <w:rFonts w:hint="default"/>
        <w:lang w:val="en-GB" w:eastAsia="en-GB" w:bidi="en-GB"/>
      </w:rPr>
    </w:lvl>
    <w:lvl w:ilvl="6" w:tplc="73227E4A">
      <w:numFmt w:val="bullet"/>
      <w:lvlText w:val="•"/>
      <w:lvlJc w:val="left"/>
      <w:pPr>
        <w:ind w:left="6031" w:hanging="440"/>
      </w:pPr>
      <w:rPr>
        <w:rFonts w:hint="default"/>
        <w:lang w:val="en-GB" w:eastAsia="en-GB" w:bidi="en-GB"/>
      </w:rPr>
    </w:lvl>
    <w:lvl w:ilvl="7" w:tplc="6232A0B6">
      <w:numFmt w:val="bullet"/>
      <w:lvlText w:val="•"/>
      <w:lvlJc w:val="left"/>
      <w:pPr>
        <w:ind w:left="6890" w:hanging="440"/>
      </w:pPr>
      <w:rPr>
        <w:rFonts w:hint="default"/>
        <w:lang w:val="en-GB" w:eastAsia="en-GB" w:bidi="en-GB"/>
      </w:rPr>
    </w:lvl>
    <w:lvl w:ilvl="8" w:tplc="06FA208E">
      <w:numFmt w:val="bullet"/>
      <w:lvlText w:val="•"/>
      <w:lvlJc w:val="left"/>
      <w:pPr>
        <w:ind w:left="7749" w:hanging="440"/>
      </w:pPr>
      <w:rPr>
        <w:rFonts w:hint="default"/>
        <w:lang w:val="en-GB" w:eastAsia="en-GB" w:bidi="en-GB"/>
      </w:rPr>
    </w:lvl>
  </w:abstractNum>
  <w:abstractNum w:abstractNumId="3">
    <w:nsid w:val="379463FA"/>
    <w:multiLevelType w:val="hybridMultilevel"/>
    <w:tmpl w:val="62E8C80C"/>
    <w:lvl w:ilvl="0" w:tplc="317A9D64">
      <w:start w:val="1"/>
      <w:numFmt w:val="decimal"/>
      <w:lvlText w:val="%1."/>
      <w:lvlJc w:val="left"/>
      <w:pPr>
        <w:ind w:left="720" w:hanging="360"/>
      </w:pPr>
      <w:rPr>
        <w:rFonts w:ascii="Arial" w:hAnsi="Arial" w:cs="Arial" w:hint="default"/>
        <w:b/>
        <w:sz w:val="23"/>
        <w:szCs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C9A6428"/>
    <w:multiLevelType w:val="hybridMultilevel"/>
    <w:tmpl w:val="3D8A3E42"/>
    <w:lvl w:ilvl="0" w:tplc="B552BEA6">
      <w:start w:val="10"/>
      <w:numFmt w:val="decimal"/>
      <w:lvlText w:val="%1."/>
      <w:lvlJc w:val="left"/>
      <w:pPr>
        <w:ind w:left="1062" w:hanging="622"/>
        <w:jc w:val="left"/>
      </w:pPr>
      <w:rPr>
        <w:rFonts w:ascii="Calibri" w:eastAsia="Calibri" w:hAnsi="Calibri" w:cs="Calibri" w:hint="default"/>
        <w:color w:val="006FC0"/>
        <w:w w:val="109"/>
        <w:sz w:val="32"/>
        <w:szCs w:val="32"/>
        <w:lang w:val="en-GB" w:eastAsia="en-GB" w:bidi="en-GB"/>
      </w:rPr>
    </w:lvl>
    <w:lvl w:ilvl="1" w:tplc="6D26E68A">
      <w:numFmt w:val="bullet"/>
      <w:lvlText w:val=""/>
      <w:lvlJc w:val="left"/>
      <w:pPr>
        <w:ind w:left="1298" w:hanging="720"/>
      </w:pPr>
      <w:rPr>
        <w:rFonts w:ascii="Symbol" w:eastAsia="Symbol" w:hAnsi="Symbol" w:cs="Symbol" w:hint="default"/>
        <w:w w:val="100"/>
        <w:sz w:val="22"/>
        <w:szCs w:val="22"/>
        <w:lang w:val="en-GB" w:eastAsia="en-GB" w:bidi="en-GB"/>
      </w:rPr>
    </w:lvl>
    <w:lvl w:ilvl="2" w:tplc="CB9842EC">
      <w:numFmt w:val="bullet"/>
      <w:lvlText w:val="•"/>
      <w:lvlJc w:val="left"/>
      <w:pPr>
        <w:ind w:left="2207" w:hanging="720"/>
      </w:pPr>
      <w:rPr>
        <w:rFonts w:hint="default"/>
        <w:lang w:val="en-GB" w:eastAsia="en-GB" w:bidi="en-GB"/>
      </w:rPr>
    </w:lvl>
    <w:lvl w:ilvl="3" w:tplc="AC942C6C">
      <w:numFmt w:val="bullet"/>
      <w:lvlText w:val="•"/>
      <w:lvlJc w:val="left"/>
      <w:pPr>
        <w:ind w:left="3114" w:hanging="720"/>
      </w:pPr>
      <w:rPr>
        <w:rFonts w:hint="default"/>
        <w:lang w:val="en-GB" w:eastAsia="en-GB" w:bidi="en-GB"/>
      </w:rPr>
    </w:lvl>
    <w:lvl w:ilvl="4" w:tplc="AC105D3E">
      <w:numFmt w:val="bullet"/>
      <w:lvlText w:val="•"/>
      <w:lvlJc w:val="left"/>
      <w:pPr>
        <w:ind w:left="4022" w:hanging="720"/>
      </w:pPr>
      <w:rPr>
        <w:rFonts w:hint="default"/>
        <w:lang w:val="en-GB" w:eastAsia="en-GB" w:bidi="en-GB"/>
      </w:rPr>
    </w:lvl>
    <w:lvl w:ilvl="5" w:tplc="7284B1BC">
      <w:numFmt w:val="bullet"/>
      <w:lvlText w:val="•"/>
      <w:lvlJc w:val="left"/>
      <w:pPr>
        <w:ind w:left="4929" w:hanging="720"/>
      </w:pPr>
      <w:rPr>
        <w:rFonts w:hint="default"/>
        <w:lang w:val="en-GB" w:eastAsia="en-GB" w:bidi="en-GB"/>
      </w:rPr>
    </w:lvl>
    <w:lvl w:ilvl="6" w:tplc="203C0A92">
      <w:numFmt w:val="bullet"/>
      <w:lvlText w:val="•"/>
      <w:lvlJc w:val="left"/>
      <w:pPr>
        <w:ind w:left="5836" w:hanging="720"/>
      </w:pPr>
      <w:rPr>
        <w:rFonts w:hint="default"/>
        <w:lang w:val="en-GB" w:eastAsia="en-GB" w:bidi="en-GB"/>
      </w:rPr>
    </w:lvl>
    <w:lvl w:ilvl="7" w:tplc="029A395E">
      <w:numFmt w:val="bullet"/>
      <w:lvlText w:val="•"/>
      <w:lvlJc w:val="left"/>
      <w:pPr>
        <w:ind w:left="6744" w:hanging="720"/>
      </w:pPr>
      <w:rPr>
        <w:rFonts w:hint="default"/>
        <w:lang w:val="en-GB" w:eastAsia="en-GB" w:bidi="en-GB"/>
      </w:rPr>
    </w:lvl>
    <w:lvl w:ilvl="8" w:tplc="3B208EDC">
      <w:numFmt w:val="bullet"/>
      <w:lvlText w:val="•"/>
      <w:lvlJc w:val="left"/>
      <w:pPr>
        <w:ind w:left="7651" w:hanging="720"/>
      </w:pPr>
      <w:rPr>
        <w:rFonts w:hint="default"/>
        <w:lang w:val="en-GB" w:eastAsia="en-GB" w:bidi="en-GB"/>
      </w:rPr>
    </w:lvl>
  </w:abstractNum>
  <w:abstractNum w:abstractNumId="5">
    <w:nsid w:val="7F443494"/>
    <w:multiLevelType w:val="multilevel"/>
    <w:tmpl w:val="6E680152"/>
    <w:lvl w:ilvl="0">
      <w:start w:val="6"/>
      <w:numFmt w:val="decimal"/>
      <w:lvlText w:val="%1"/>
      <w:lvlJc w:val="left"/>
      <w:pPr>
        <w:ind w:left="940" w:hanging="720"/>
        <w:jc w:val="left"/>
      </w:pPr>
      <w:rPr>
        <w:rFonts w:hint="default"/>
        <w:lang w:val="en-GB" w:eastAsia="en-GB" w:bidi="en-GB"/>
      </w:rPr>
    </w:lvl>
    <w:lvl w:ilvl="1">
      <w:start w:val="1"/>
      <w:numFmt w:val="decimal"/>
      <w:lvlText w:val="%1.%2"/>
      <w:lvlJc w:val="left"/>
      <w:pPr>
        <w:ind w:left="940" w:hanging="720"/>
        <w:jc w:val="left"/>
      </w:pPr>
      <w:rPr>
        <w:rFonts w:ascii="Arial" w:eastAsia="Arial" w:hAnsi="Arial" w:cs="Arial" w:hint="default"/>
        <w:b/>
        <w:bCs/>
        <w:w w:val="100"/>
        <w:sz w:val="22"/>
        <w:szCs w:val="22"/>
        <w:lang w:val="en-GB" w:eastAsia="en-GB" w:bidi="en-GB"/>
      </w:rPr>
    </w:lvl>
    <w:lvl w:ilvl="2">
      <w:numFmt w:val="bullet"/>
      <w:lvlText w:val=""/>
      <w:lvlJc w:val="left"/>
      <w:pPr>
        <w:ind w:left="1298" w:hanging="284"/>
      </w:pPr>
      <w:rPr>
        <w:rFonts w:ascii="Symbol" w:eastAsia="Symbol" w:hAnsi="Symbol" w:cs="Symbol" w:hint="default"/>
        <w:color w:val="000000" w:themeColor="text1"/>
        <w:w w:val="100"/>
        <w:sz w:val="22"/>
        <w:szCs w:val="22"/>
        <w:lang w:val="en-GB" w:eastAsia="en-GB" w:bidi="en-GB"/>
      </w:rPr>
    </w:lvl>
    <w:lvl w:ilvl="3">
      <w:numFmt w:val="bullet"/>
      <w:lvlText w:val="•"/>
      <w:lvlJc w:val="left"/>
      <w:pPr>
        <w:ind w:left="3114" w:hanging="284"/>
      </w:pPr>
      <w:rPr>
        <w:rFonts w:hint="default"/>
        <w:lang w:val="en-GB" w:eastAsia="en-GB" w:bidi="en-GB"/>
      </w:rPr>
    </w:lvl>
    <w:lvl w:ilvl="4">
      <w:numFmt w:val="bullet"/>
      <w:lvlText w:val="•"/>
      <w:lvlJc w:val="left"/>
      <w:pPr>
        <w:ind w:left="4022" w:hanging="284"/>
      </w:pPr>
      <w:rPr>
        <w:rFonts w:hint="default"/>
        <w:lang w:val="en-GB" w:eastAsia="en-GB" w:bidi="en-GB"/>
      </w:rPr>
    </w:lvl>
    <w:lvl w:ilvl="5">
      <w:numFmt w:val="bullet"/>
      <w:lvlText w:val="•"/>
      <w:lvlJc w:val="left"/>
      <w:pPr>
        <w:ind w:left="4929" w:hanging="284"/>
      </w:pPr>
      <w:rPr>
        <w:rFonts w:hint="default"/>
        <w:lang w:val="en-GB" w:eastAsia="en-GB" w:bidi="en-GB"/>
      </w:rPr>
    </w:lvl>
    <w:lvl w:ilvl="6">
      <w:numFmt w:val="bullet"/>
      <w:lvlText w:val="•"/>
      <w:lvlJc w:val="left"/>
      <w:pPr>
        <w:ind w:left="5836" w:hanging="284"/>
      </w:pPr>
      <w:rPr>
        <w:rFonts w:hint="default"/>
        <w:lang w:val="en-GB" w:eastAsia="en-GB" w:bidi="en-GB"/>
      </w:rPr>
    </w:lvl>
    <w:lvl w:ilvl="7">
      <w:numFmt w:val="bullet"/>
      <w:lvlText w:val="•"/>
      <w:lvlJc w:val="left"/>
      <w:pPr>
        <w:ind w:left="6744" w:hanging="284"/>
      </w:pPr>
      <w:rPr>
        <w:rFonts w:hint="default"/>
        <w:lang w:val="en-GB" w:eastAsia="en-GB" w:bidi="en-GB"/>
      </w:rPr>
    </w:lvl>
    <w:lvl w:ilvl="8">
      <w:numFmt w:val="bullet"/>
      <w:lvlText w:val="•"/>
      <w:lvlJc w:val="left"/>
      <w:pPr>
        <w:ind w:left="7651" w:hanging="284"/>
      </w:pPr>
      <w:rPr>
        <w:rFonts w:hint="default"/>
        <w:lang w:val="en-GB" w:eastAsia="en-GB" w:bidi="en-GB"/>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uassi, Paul">
    <w15:presenceInfo w15:providerId="AD" w15:userId="S-1-5-21-4183519483-3059463924-2091044566-11029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B90363"/>
    <w:rsid w:val="0009794C"/>
    <w:rsid w:val="000C2FB1"/>
    <w:rsid w:val="002842B1"/>
    <w:rsid w:val="00422120"/>
    <w:rsid w:val="0050334B"/>
    <w:rsid w:val="00594CCC"/>
    <w:rsid w:val="005B08F4"/>
    <w:rsid w:val="00721F25"/>
    <w:rsid w:val="007D2DF1"/>
    <w:rsid w:val="0092735E"/>
    <w:rsid w:val="00992E94"/>
    <w:rsid w:val="009958A5"/>
    <w:rsid w:val="00B63B51"/>
    <w:rsid w:val="00B90363"/>
    <w:rsid w:val="00D6178A"/>
    <w:rsid w:val="00D87F3A"/>
    <w:rsid w:val="00DD0739"/>
    <w:rsid w:val="00E53BAE"/>
    <w:rsid w:val="00F30724"/>
    <w:rsid w:val="00F7080B"/>
    <w:rsid w:val="00FD7DA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958A5"/>
    <w:rPr>
      <w:rFonts w:ascii="Arial" w:eastAsia="Arial" w:hAnsi="Arial" w:cs="Arial"/>
      <w:lang w:val="en-GB" w:eastAsia="en-GB" w:bidi="en-GB"/>
    </w:rPr>
  </w:style>
  <w:style w:type="paragraph" w:styleId="Heading1">
    <w:name w:val="heading 1"/>
    <w:basedOn w:val="Normal"/>
    <w:uiPriority w:val="1"/>
    <w:qFormat/>
    <w:rsid w:val="009958A5"/>
    <w:pPr>
      <w:spacing w:before="278"/>
      <w:ind w:left="781" w:hanging="221"/>
      <w:outlineLvl w:val="0"/>
    </w:pPr>
    <w:rPr>
      <w:b/>
      <w:bCs/>
      <w:sz w:val="48"/>
      <w:szCs w:val="48"/>
    </w:rPr>
  </w:style>
  <w:style w:type="paragraph" w:styleId="Heading2">
    <w:name w:val="heading 2"/>
    <w:basedOn w:val="Normal"/>
    <w:uiPriority w:val="1"/>
    <w:qFormat/>
    <w:rsid w:val="009958A5"/>
    <w:pPr>
      <w:ind w:left="940" w:hanging="72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958A5"/>
  </w:style>
  <w:style w:type="paragraph" w:styleId="ListParagraph">
    <w:name w:val="List Paragraph"/>
    <w:basedOn w:val="Normal"/>
    <w:uiPriority w:val="1"/>
    <w:qFormat/>
    <w:rsid w:val="009958A5"/>
    <w:pPr>
      <w:ind w:left="940" w:hanging="721"/>
    </w:pPr>
  </w:style>
  <w:style w:type="paragraph" w:customStyle="1" w:styleId="TableParagraph">
    <w:name w:val="Table Paragraph"/>
    <w:basedOn w:val="Normal"/>
    <w:uiPriority w:val="1"/>
    <w:qFormat/>
    <w:rsid w:val="009958A5"/>
    <w:pPr>
      <w:spacing w:before="40"/>
      <w:ind w:left="107"/>
    </w:pPr>
    <w:rPr>
      <w:rFonts w:ascii="Calibri" w:eastAsia="Calibri" w:hAnsi="Calibri" w:cs="Calibri"/>
    </w:rPr>
  </w:style>
  <w:style w:type="paragraph" w:customStyle="1" w:styleId="Default">
    <w:name w:val="Default"/>
    <w:rsid w:val="00F7080B"/>
    <w:pPr>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D87F3A"/>
    <w:pPr>
      <w:tabs>
        <w:tab w:val="center" w:pos="4513"/>
        <w:tab w:val="right" w:pos="9026"/>
      </w:tabs>
    </w:pPr>
  </w:style>
  <w:style w:type="character" w:customStyle="1" w:styleId="HeaderChar">
    <w:name w:val="Header Char"/>
    <w:basedOn w:val="DefaultParagraphFont"/>
    <w:link w:val="Header"/>
    <w:uiPriority w:val="99"/>
    <w:rsid w:val="00D87F3A"/>
    <w:rPr>
      <w:rFonts w:ascii="Arial" w:eastAsia="Arial" w:hAnsi="Arial" w:cs="Arial"/>
      <w:lang w:val="en-GB" w:eastAsia="en-GB" w:bidi="en-GB"/>
    </w:rPr>
  </w:style>
  <w:style w:type="paragraph" w:styleId="Footer">
    <w:name w:val="footer"/>
    <w:basedOn w:val="Normal"/>
    <w:link w:val="FooterChar"/>
    <w:uiPriority w:val="99"/>
    <w:unhideWhenUsed/>
    <w:rsid w:val="00D87F3A"/>
    <w:pPr>
      <w:tabs>
        <w:tab w:val="center" w:pos="4513"/>
        <w:tab w:val="right" w:pos="9026"/>
      </w:tabs>
    </w:pPr>
  </w:style>
  <w:style w:type="character" w:customStyle="1" w:styleId="FooterChar">
    <w:name w:val="Footer Char"/>
    <w:basedOn w:val="DefaultParagraphFont"/>
    <w:link w:val="Footer"/>
    <w:uiPriority w:val="99"/>
    <w:rsid w:val="00D87F3A"/>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E53B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3BAE"/>
    <w:rPr>
      <w:rFonts w:ascii="Times New Roman" w:eastAsia="Arial" w:hAnsi="Times New Roman" w:cs="Times New Roman"/>
      <w:sz w:val="18"/>
      <w:szCs w:val="18"/>
      <w:lang w:val="en-GB" w:eastAsia="en-GB" w:bidi="en-GB"/>
    </w:rPr>
  </w:style>
  <w:style w:type="paragraph" w:styleId="Revision">
    <w:name w:val="Revision"/>
    <w:hidden/>
    <w:uiPriority w:val="99"/>
    <w:semiHidden/>
    <w:rsid w:val="00721F25"/>
    <w:pPr>
      <w:widowControl/>
      <w:autoSpaceDE/>
      <w:autoSpaceDN/>
    </w:pPr>
    <w:rPr>
      <w:rFonts w:ascii="Arial" w:eastAsia="Arial" w:hAnsi="Arial" w:cs="Arial"/>
      <w:lang w:val="en-GB" w:eastAsia="en-GB" w:bidi="en-GB"/>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10.jpg@01D622C6.37B33A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5BD1A-A14A-4366-BC40-F12D1BAAB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LBC</Company>
  <LinksUpToDate>false</LinksUpToDate>
  <CharactersWithSpaces>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dc:creator>
  <cp:lastModifiedBy>Corinne Pinfold</cp:lastModifiedBy>
  <cp:revision>3</cp:revision>
  <cp:lastPrinted>2020-05-15T10:12:00Z</cp:lastPrinted>
  <dcterms:created xsi:type="dcterms:W3CDTF">2020-06-01T15:39:00Z</dcterms:created>
  <dcterms:modified xsi:type="dcterms:W3CDTF">2020-06-01T15:48:00Z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2016-01-15T00:00:00Z</vt:filetime>
  </property>
  <property fmtid="{D5CDD505-2E9C-101B-9397-08002B2CF9AE}" pid="3" name="Creator">
    <vt:lpwstr>Microsoft® Word 2013</vt:lpwstr>
  </property>
  <property fmtid="{D5CDD505-2E9C-101B-9397-08002B2CF9AE}" pid="4" name="LastSaved">
    <vt:filetime>2020-03-22T00:00:00Z</vt:filetime>
  </property>
</Properties>
</file>