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95" w:rsidRPr="00773134" w:rsidRDefault="00B04A95" w:rsidP="00B04A95">
      <w:pPr>
        <w:rPr>
          <w:rFonts w:ascii="Arial" w:hAnsi="Arial" w:cs="Arial"/>
          <w:b/>
          <w:sz w:val="20"/>
          <w:szCs w:val="20"/>
        </w:rPr>
      </w:pPr>
      <w:r w:rsidRPr="00773134">
        <w:rPr>
          <w:rFonts w:ascii="Arial" w:hAnsi="Arial" w:cs="Arial"/>
          <w:b/>
          <w:sz w:val="20"/>
          <w:szCs w:val="20"/>
        </w:rPr>
        <w:t>DfT - Pothole funding 2018/19</w:t>
      </w:r>
    </w:p>
    <w:p w:rsidR="00B04A95" w:rsidRPr="00773134" w:rsidRDefault="00B04A95" w:rsidP="00B04A95">
      <w:pPr>
        <w:rPr>
          <w:rFonts w:ascii="Arial" w:hAnsi="Arial" w:cs="Arial"/>
          <w:sz w:val="20"/>
          <w:szCs w:val="20"/>
        </w:rPr>
      </w:pPr>
      <w:r w:rsidRPr="00773134">
        <w:rPr>
          <w:rFonts w:ascii="Arial" w:hAnsi="Arial" w:cs="Arial"/>
          <w:sz w:val="20"/>
          <w:szCs w:val="20"/>
        </w:rPr>
        <w:t>In October 2018, the Chancellor of the Exchequer announced in the budget that the government was allocating £420 million in the 2018/19 financial year for local highways maintenance</w:t>
      </w:r>
    </w:p>
    <w:p w:rsidR="00F5501C" w:rsidRPr="00773134" w:rsidRDefault="00B04A95" w:rsidP="00B04A95">
      <w:pPr>
        <w:rPr>
          <w:rFonts w:ascii="Arial" w:hAnsi="Arial" w:cs="Arial"/>
          <w:sz w:val="20"/>
          <w:szCs w:val="20"/>
        </w:rPr>
      </w:pPr>
      <w:r w:rsidRPr="00773134">
        <w:rPr>
          <w:rFonts w:ascii="Arial" w:hAnsi="Arial" w:cs="Arial"/>
          <w:sz w:val="20"/>
          <w:szCs w:val="20"/>
        </w:rPr>
        <w:t>This included the repair of potholes, to keep local bridges and structures open and safe, as well as to aid other minor highway works that may be needed to maintain a safe highway during the 2018/19 financial year</w:t>
      </w:r>
    </w:p>
    <w:p w:rsidR="00F5501C" w:rsidRPr="00773134" w:rsidRDefault="00F5501C" w:rsidP="00B04A95">
      <w:pPr>
        <w:rPr>
          <w:rFonts w:ascii="Arial" w:hAnsi="Arial" w:cs="Arial"/>
          <w:sz w:val="20"/>
          <w:szCs w:val="20"/>
        </w:rPr>
      </w:pPr>
      <w:r w:rsidRPr="00773134">
        <w:rPr>
          <w:rFonts w:ascii="Arial" w:hAnsi="Arial" w:cs="Arial"/>
          <w:sz w:val="20"/>
          <w:szCs w:val="20"/>
        </w:rPr>
        <w:t>As part of this budget allocation, London Borough of Croydon</w:t>
      </w:r>
      <w:r w:rsidR="00781F6A" w:rsidRPr="00773134">
        <w:rPr>
          <w:rFonts w:ascii="Arial" w:hAnsi="Arial" w:cs="Arial"/>
          <w:sz w:val="20"/>
          <w:szCs w:val="20"/>
        </w:rPr>
        <w:t xml:space="preserve"> was allocated £956,0</w:t>
      </w:r>
      <w:r w:rsidRPr="00773134">
        <w:rPr>
          <w:rFonts w:ascii="Arial" w:hAnsi="Arial" w:cs="Arial"/>
          <w:sz w:val="20"/>
          <w:szCs w:val="20"/>
        </w:rPr>
        <w:t xml:space="preserve">00 from the government’s pothole action fund to undertake work on some of the borough’s </w:t>
      </w:r>
      <w:r w:rsidR="00343D85" w:rsidRPr="00773134">
        <w:rPr>
          <w:rFonts w:ascii="Arial" w:hAnsi="Arial" w:cs="Arial"/>
          <w:sz w:val="20"/>
          <w:szCs w:val="20"/>
        </w:rPr>
        <w:t>worst affected ‘potholed’ roads, with the condition that this was spent by end of March 2019.</w:t>
      </w:r>
    </w:p>
    <w:p w:rsidR="00F5501C" w:rsidRDefault="00F5501C" w:rsidP="00F5501C">
      <w:pPr>
        <w:rPr>
          <w:rFonts w:ascii="Arial" w:hAnsi="Arial" w:cs="Arial"/>
          <w:sz w:val="20"/>
          <w:szCs w:val="20"/>
        </w:rPr>
      </w:pPr>
      <w:r w:rsidRPr="00773134">
        <w:rPr>
          <w:rFonts w:ascii="Arial" w:hAnsi="Arial" w:cs="Arial"/>
          <w:sz w:val="20"/>
          <w:szCs w:val="20"/>
        </w:rPr>
        <w:t>The DfT funding has facilitated additional road pothole repairs to be undertaken on all Carri</w:t>
      </w:r>
      <w:r w:rsidR="00177286">
        <w:rPr>
          <w:rFonts w:ascii="Arial" w:hAnsi="Arial" w:cs="Arial"/>
          <w:sz w:val="20"/>
          <w:szCs w:val="20"/>
        </w:rPr>
        <w:t xml:space="preserve">ageway and Footway hierarchies </w:t>
      </w:r>
      <w:r w:rsidR="00177286" w:rsidRPr="00773134">
        <w:rPr>
          <w:rFonts w:ascii="Arial" w:hAnsi="Arial" w:cs="Arial"/>
          <w:sz w:val="20"/>
          <w:szCs w:val="20"/>
        </w:rPr>
        <w:t>B</w:t>
      </w:r>
      <w:r w:rsidR="008F1C12" w:rsidRPr="00773134">
        <w:rPr>
          <w:rFonts w:ascii="Arial" w:hAnsi="Arial" w:cs="Arial"/>
          <w:sz w:val="20"/>
          <w:szCs w:val="20"/>
        </w:rPr>
        <w:t xml:space="preserve">, </w:t>
      </w:r>
      <w:r w:rsidRPr="00773134">
        <w:rPr>
          <w:rFonts w:ascii="Arial" w:hAnsi="Arial" w:cs="Arial"/>
          <w:sz w:val="20"/>
          <w:szCs w:val="20"/>
        </w:rPr>
        <w:t xml:space="preserve">C, D, E, across the Local Borough. The most appropriate treatments have been selected on a site by site basis, but </w:t>
      </w:r>
      <w:r w:rsidR="00781F6A" w:rsidRPr="00773134">
        <w:rPr>
          <w:rFonts w:ascii="Arial" w:hAnsi="Arial" w:cs="Arial"/>
          <w:sz w:val="20"/>
          <w:szCs w:val="20"/>
        </w:rPr>
        <w:t>primarily</w:t>
      </w:r>
      <w:r w:rsidRPr="00773134">
        <w:rPr>
          <w:rFonts w:ascii="Arial" w:hAnsi="Arial" w:cs="Arial"/>
          <w:sz w:val="20"/>
          <w:szCs w:val="20"/>
        </w:rPr>
        <w:t xml:space="preserve"> the treatment selected has been traditional </w:t>
      </w:r>
      <w:r w:rsidR="00781F6A" w:rsidRPr="00773134">
        <w:rPr>
          <w:rFonts w:ascii="Arial" w:hAnsi="Arial" w:cs="Arial"/>
          <w:sz w:val="20"/>
          <w:szCs w:val="20"/>
        </w:rPr>
        <w:t xml:space="preserve">resurfacing plane and inlay, overlay, wearing coarse replacement and </w:t>
      </w:r>
      <w:r w:rsidRPr="00773134">
        <w:rPr>
          <w:rFonts w:ascii="Arial" w:hAnsi="Arial" w:cs="Arial"/>
          <w:sz w:val="20"/>
          <w:szCs w:val="20"/>
        </w:rPr>
        <w:t>patching for quality, long lasting repairs.</w:t>
      </w:r>
    </w:p>
    <w:p w:rsidR="00883D17" w:rsidRDefault="00883D17" w:rsidP="00F5501C">
      <w:pPr>
        <w:rPr>
          <w:rFonts w:ascii="Arial" w:hAnsi="Arial" w:cs="Arial"/>
          <w:sz w:val="20"/>
          <w:szCs w:val="20"/>
        </w:rPr>
      </w:pPr>
      <w:r w:rsidRPr="00883D17">
        <w:rPr>
          <w:rFonts w:ascii="Arial" w:hAnsi="Arial" w:cs="Arial"/>
          <w:sz w:val="20"/>
          <w:szCs w:val="20"/>
        </w:rPr>
        <w:t>The sites were identified by CVI Data which is intended to allow rapid assessment of the network. Th</w:t>
      </w:r>
      <w:r>
        <w:rPr>
          <w:rFonts w:ascii="Arial" w:hAnsi="Arial" w:cs="Arial"/>
          <w:sz w:val="20"/>
          <w:szCs w:val="20"/>
        </w:rPr>
        <w:t>e</w:t>
      </w:r>
      <w:r w:rsidRPr="00883D17">
        <w:rPr>
          <w:rFonts w:ascii="Arial" w:hAnsi="Arial" w:cs="Arial"/>
          <w:sz w:val="20"/>
          <w:szCs w:val="20"/>
        </w:rPr>
        <w:t xml:space="preserve"> info is then interpreted to priority ranking dependent on defect In addition, the council uses local knowledge from its team of highway inspectors who routinely inspect each street within the borough.</w:t>
      </w:r>
    </w:p>
    <w:p w:rsidR="00090F93" w:rsidRDefault="001D18DF" w:rsidP="00F5501C">
      <w:pPr>
        <w:rPr>
          <w:rFonts w:ascii="Arial" w:hAnsi="Arial" w:cs="Arial"/>
          <w:sz w:val="20"/>
          <w:szCs w:val="20"/>
        </w:rPr>
      </w:pPr>
      <w:r w:rsidRPr="001D18DF">
        <w:rPr>
          <w:rFonts w:ascii="Arial" w:hAnsi="Arial" w:cs="Arial"/>
          <w:sz w:val="20"/>
          <w:szCs w:val="20"/>
        </w:rPr>
        <w:t>This funding has enabled addi</w:t>
      </w:r>
      <w:r>
        <w:rPr>
          <w:rFonts w:ascii="Arial" w:hAnsi="Arial" w:cs="Arial"/>
          <w:sz w:val="20"/>
          <w:szCs w:val="20"/>
        </w:rPr>
        <w:t xml:space="preserve">tional spending divided between reactive maintenance and planned maintenance. </w:t>
      </w:r>
      <w:r w:rsidR="00090F93">
        <w:rPr>
          <w:rFonts w:ascii="Arial" w:hAnsi="Arial" w:cs="Arial"/>
          <w:sz w:val="20"/>
          <w:szCs w:val="20"/>
        </w:rPr>
        <w:t xml:space="preserve">The majority of </w:t>
      </w:r>
      <w:r w:rsidRPr="001D18DF">
        <w:rPr>
          <w:rFonts w:ascii="Arial" w:hAnsi="Arial" w:cs="Arial"/>
          <w:sz w:val="20"/>
          <w:szCs w:val="20"/>
        </w:rPr>
        <w:t>work</w:t>
      </w:r>
      <w:r w:rsidR="00090F93">
        <w:rPr>
          <w:rFonts w:ascii="Arial" w:hAnsi="Arial" w:cs="Arial"/>
          <w:sz w:val="20"/>
          <w:szCs w:val="20"/>
        </w:rPr>
        <w:t>s were</w:t>
      </w:r>
      <w:r w:rsidRPr="001D18DF">
        <w:rPr>
          <w:rFonts w:ascii="Arial" w:hAnsi="Arial" w:cs="Arial"/>
          <w:sz w:val="20"/>
          <w:szCs w:val="20"/>
        </w:rPr>
        <w:t xml:space="preserve"> completed </w:t>
      </w:r>
      <w:r w:rsidR="00614DC8">
        <w:rPr>
          <w:rFonts w:ascii="Arial" w:hAnsi="Arial" w:cs="Arial"/>
          <w:sz w:val="20"/>
          <w:szCs w:val="20"/>
        </w:rPr>
        <w:t>with</w:t>
      </w:r>
      <w:r w:rsidR="00090F93">
        <w:rPr>
          <w:rFonts w:ascii="Arial" w:hAnsi="Arial" w:cs="Arial"/>
          <w:sz w:val="20"/>
          <w:szCs w:val="20"/>
        </w:rPr>
        <w:t>in the 6</w:t>
      </w:r>
      <w:r w:rsidR="00614DC8">
        <w:rPr>
          <w:rFonts w:ascii="Arial" w:hAnsi="Arial" w:cs="Arial"/>
          <w:sz w:val="20"/>
          <w:szCs w:val="20"/>
        </w:rPr>
        <w:t xml:space="preserve"> month time frame</w:t>
      </w:r>
      <w:r w:rsidRPr="001D18DF">
        <w:rPr>
          <w:rFonts w:ascii="Arial" w:hAnsi="Arial" w:cs="Arial"/>
          <w:sz w:val="20"/>
          <w:szCs w:val="20"/>
        </w:rPr>
        <w:t xml:space="preserve">, </w:t>
      </w:r>
      <w:r w:rsidR="00090F93">
        <w:rPr>
          <w:rFonts w:ascii="Arial" w:hAnsi="Arial" w:cs="Arial"/>
          <w:sz w:val="20"/>
          <w:szCs w:val="20"/>
        </w:rPr>
        <w:t>October- March 2019</w:t>
      </w:r>
    </w:p>
    <w:p w:rsidR="0017052C" w:rsidRPr="0017052C" w:rsidRDefault="0017052C" w:rsidP="00F5501C">
      <w:pPr>
        <w:rPr>
          <w:rFonts w:ascii="Arial" w:hAnsi="Arial" w:cs="Arial"/>
          <w:b/>
          <w:sz w:val="20"/>
          <w:szCs w:val="20"/>
        </w:rPr>
      </w:pPr>
      <w:r w:rsidRPr="0017052C">
        <w:rPr>
          <w:rFonts w:ascii="Arial" w:hAnsi="Arial" w:cs="Arial"/>
          <w:b/>
          <w:sz w:val="20"/>
          <w:szCs w:val="20"/>
        </w:rPr>
        <w:t xml:space="preserve">Pothole Budget Spend </w:t>
      </w:r>
    </w:p>
    <w:p w:rsidR="001D18DF" w:rsidRDefault="0017052C" w:rsidP="0017052C">
      <w:pPr>
        <w:pStyle w:val="ListParagraph"/>
        <w:numPr>
          <w:ilvl w:val="0"/>
          <w:numId w:val="5"/>
        </w:numPr>
        <w:rPr>
          <w:rFonts w:ascii="Arial" w:hAnsi="Arial" w:cs="Arial"/>
          <w:sz w:val="20"/>
          <w:szCs w:val="20"/>
        </w:rPr>
      </w:pPr>
      <w:r w:rsidRPr="0017052C">
        <w:rPr>
          <w:rFonts w:ascii="Arial" w:hAnsi="Arial" w:cs="Arial"/>
          <w:sz w:val="20"/>
          <w:szCs w:val="20"/>
        </w:rPr>
        <w:t xml:space="preserve">Planned </w:t>
      </w:r>
      <w:r>
        <w:rPr>
          <w:rFonts w:ascii="Arial" w:hAnsi="Arial" w:cs="Arial"/>
          <w:sz w:val="20"/>
          <w:szCs w:val="20"/>
        </w:rPr>
        <w:t xml:space="preserve"> </w:t>
      </w:r>
      <w:r w:rsidRPr="0017052C">
        <w:rPr>
          <w:rFonts w:ascii="Arial" w:hAnsi="Arial" w:cs="Arial"/>
          <w:sz w:val="20"/>
          <w:szCs w:val="20"/>
        </w:rPr>
        <w:t>Maintenance</w:t>
      </w:r>
      <w:r>
        <w:rPr>
          <w:rFonts w:ascii="Arial" w:hAnsi="Arial" w:cs="Arial"/>
          <w:sz w:val="20"/>
          <w:szCs w:val="20"/>
        </w:rPr>
        <w:tab/>
      </w:r>
      <w:r w:rsidRPr="0017052C">
        <w:rPr>
          <w:rFonts w:ascii="Arial" w:hAnsi="Arial" w:cs="Arial"/>
          <w:sz w:val="20"/>
          <w:szCs w:val="20"/>
        </w:rPr>
        <w:t xml:space="preserve"> </w:t>
      </w:r>
      <w:r>
        <w:rPr>
          <w:rFonts w:ascii="Arial" w:hAnsi="Arial" w:cs="Arial"/>
          <w:sz w:val="20"/>
          <w:szCs w:val="20"/>
        </w:rPr>
        <w:t>£ 653,810</w:t>
      </w:r>
    </w:p>
    <w:p w:rsidR="00912B99" w:rsidRDefault="0017052C" w:rsidP="00883D17">
      <w:pPr>
        <w:pStyle w:val="ListParagraph"/>
        <w:numPr>
          <w:ilvl w:val="0"/>
          <w:numId w:val="5"/>
        </w:numPr>
        <w:rPr>
          <w:rFonts w:ascii="Arial" w:hAnsi="Arial" w:cs="Arial"/>
          <w:sz w:val="20"/>
          <w:szCs w:val="20"/>
        </w:rPr>
      </w:pPr>
      <w:r>
        <w:rPr>
          <w:rFonts w:ascii="Arial" w:hAnsi="Arial" w:cs="Arial"/>
          <w:sz w:val="20"/>
          <w:szCs w:val="20"/>
        </w:rPr>
        <w:t>Reactive Maintenance</w:t>
      </w:r>
      <w:r>
        <w:rPr>
          <w:rFonts w:ascii="Arial" w:hAnsi="Arial" w:cs="Arial"/>
          <w:sz w:val="20"/>
          <w:szCs w:val="20"/>
        </w:rPr>
        <w:tab/>
        <w:t xml:space="preserve"> £ </w:t>
      </w:r>
      <w:r w:rsidR="00883D17" w:rsidRPr="00883D17">
        <w:rPr>
          <w:rFonts w:ascii="Arial" w:hAnsi="Arial" w:cs="Arial"/>
          <w:sz w:val="20"/>
          <w:szCs w:val="20"/>
        </w:rPr>
        <w:t>302</w:t>
      </w:r>
      <w:r w:rsidR="00883D17">
        <w:rPr>
          <w:rFonts w:ascii="Arial" w:hAnsi="Arial" w:cs="Arial"/>
          <w:sz w:val="20"/>
          <w:szCs w:val="20"/>
        </w:rPr>
        <w:t>,</w:t>
      </w:r>
      <w:r w:rsidR="00883D17" w:rsidRPr="00883D17">
        <w:rPr>
          <w:rFonts w:ascii="Arial" w:hAnsi="Arial" w:cs="Arial"/>
          <w:sz w:val="20"/>
          <w:szCs w:val="20"/>
        </w:rPr>
        <w:t>210</w:t>
      </w:r>
    </w:p>
    <w:p w:rsidR="001D18DF" w:rsidRPr="0017052C" w:rsidRDefault="0017052C" w:rsidP="00883D17">
      <w:pPr>
        <w:pStyle w:val="ListParagraph"/>
        <w:rPr>
          <w:rFonts w:ascii="Arial" w:hAnsi="Arial" w:cs="Arial"/>
          <w:sz w:val="20"/>
          <w:szCs w:val="20"/>
        </w:rPr>
      </w:pPr>
      <w:r>
        <w:rPr>
          <w:rFonts w:ascii="Arial" w:hAnsi="Arial" w:cs="Arial"/>
          <w:sz w:val="20"/>
          <w:szCs w:val="20"/>
        </w:rPr>
        <w:tab/>
      </w:r>
    </w:p>
    <w:p w:rsidR="00A269A7" w:rsidRPr="0017052C" w:rsidRDefault="00A269A7" w:rsidP="00F5501C">
      <w:pPr>
        <w:rPr>
          <w:rFonts w:ascii="Arial" w:hAnsi="Arial" w:cs="Arial"/>
          <w:sz w:val="16"/>
          <w:szCs w:val="20"/>
        </w:rPr>
      </w:pPr>
      <w:r w:rsidRPr="00A269A7">
        <w:rPr>
          <w:rFonts w:ascii="Arial" w:hAnsi="Arial" w:cs="Arial"/>
          <w:b/>
          <w:sz w:val="20"/>
          <w:szCs w:val="20"/>
        </w:rPr>
        <w:t>Carriageway resurfacing</w:t>
      </w:r>
      <w:r w:rsidR="0017052C">
        <w:rPr>
          <w:rFonts w:ascii="Arial" w:hAnsi="Arial" w:cs="Arial"/>
          <w:b/>
          <w:sz w:val="20"/>
          <w:szCs w:val="20"/>
        </w:rPr>
        <w:t xml:space="preserve"> </w:t>
      </w:r>
      <w:r w:rsidR="0017052C">
        <w:rPr>
          <w:rFonts w:ascii="Arial" w:hAnsi="Arial" w:cs="Arial"/>
          <w:sz w:val="16"/>
          <w:szCs w:val="20"/>
        </w:rPr>
        <w:t>(Planned Maintenance)</w:t>
      </w:r>
    </w:p>
    <w:p w:rsidR="00221702" w:rsidRPr="00221702" w:rsidRDefault="00357030" w:rsidP="00221702">
      <w:pPr>
        <w:spacing w:before="100" w:beforeAutospacing="1" w:line="48" w:lineRule="auto"/>
        <w:rPr>
          <w:rFonts w:ascii="Arial" w:hAnsi="Arial" w:cs="Arial"/>
          <w:sz w:val="16"/>
          <w:szCs w:val="16"/>
        </w:rPr>
      </w:pPr>
      <w:r w:rsidRPr="00221702">
        <w:rPr>
          <w:rFonts w:ascii="Arial" w:hAnsi="Arial" w:cs="Arial"/>
          <w:sz w:val="16"/>
          <w:szCs w:val="16"/>
        </w:rPr>
        <w:t>*PI</w:t>
      </w:r>
      <w:r w:rsidR="00DA114C" w:rsidRPr="00221702">
        <w:rPr>
          <w:rFonts w:ascii="Arial" w:hAnsi="Arial" w:cs="Arial"/>
          <w:sz w:val="16"/>
          <w:szCs w:val="16"/>
        </w:rPr>
        <w:t>W</w:t>
      </w:r>
      <w:r w:rsidRPr="00221702">
        <w:rPr>
          <w:rFonts w:ascii="Arial" w:hAnsi="Arial" w:cs="Arial"/>
          <w:sz w:val="16"/>
          <w:szCs w:val="16"/>
        </w:rPr>
        <w:t xml:space="preserve"> </w:t>
      </w:r>
      <w:r w:rsidR="00DA114C" w:rsidRPr="00221702">
        <w:rPr>
          <w:rFonts w:ascii="Arial" w:hAnsi="Arial" w:cs="Arial"/>
          <w:sz w:val="16"/>
          <w:szCs w:val="16"/>
        </w:rPr>
        <w:tab/>
        <w:t>(</w:t>
      </w:r>
      <w:r w:rsidRPr="00221702">
        <w:rPr>
          <w:rFonts w:ascii="Arial" w:hAnsi="Arial" w:cs="Arial"/>
          <w:sz w:val="16"/>
          <w:szCs w:val="16"/>
        </w:rPr>
        <w:t>Plane and Inlay</w:t>
      </w:r>
      <w:r w:rsidR="00DA114C" w:rsidRPr="00221702">
        <w:rPr>
          <w:rFonts w:ascii="Arial" w:hAnsi="Arial" w:cs="Arial"/>
          <w:sz w:val="16"/>
          <w:szCs w:val="16"/>
        </w:rPr>
        <w:t xml:space="preserve"> wearing course)</w:t>
      </w:r>
    </w:p>
    <w:p w:rsidR="00DA114C" w:rsidRPr="00221702" w:rsidRDefault="00DA114C" w:rsidP="00221702">
      <w:pPr>
        <w:spacing w:before="100" w:beforeAutospacing="1" w:line="48" w:lineRule="auto"/>
        <w:rPr>
          <w:rFonts w:ascii="Arial" w:hAnsi="Arial" w:cs="Arial"/>
          <w:sz w:val="16"/>
          <w:szCs w:val="16"/>
        </w:rPr>
      </w:pPr>
      <w:r w:rsidRPr="00221702">
        <w:rPr>
          <w:rFonts w:ascii="Arial" w:hAnsi="Arial" w:cs="Arial"/>
          <w:sz w:val="16"/>
          <w:szCs w:val="16"/>
        </w:rPr>
        <w:t>*PIWB</w:t>
      </w:r>
      <w:r w:rsidRPr="00221702">
        <w:rPr>
          <w:rFonts w:ascii="Arial" w:hAnsi="Arial" w:cs="Arial"/>
          <w:sz w:val="16"/>
          <w:szCs w:val="16"/>
        </w:rPr>
        <w:tab/>
        <w:t>(Plane and Inlay wearing course and base)</w:t>
      </w:r>
    </w:p>
    <w:p w:rsidR="00350E4D" w:rsidRPr="00221702" w:rsidRDefault="00350E4D" w:rsidP="00221702">
      <w:pPr>
        <w:spacing w:before="100" w:beforeAutospacing="1" w:line="48" w:lineRule="auto"/>
        <w:rPr>
          <w:rFonts w:ascii="Arial" w:hAnsi="Arial" w:cs="Arial"/>
          <w:sz w:val="16"/>
          <w:szCs w:val="16"/>
        </w:rPr>
      </w:pPr>
      <w:r w:rsidRPr="00221702">
        <w:rPr>
          <w:rFonts w:ascii="Arial" w:hAnsi="Arial" w:cs="Arial"/>
          <w:sz w:val="16"/>
          <w:szCs w:val="16"/>
        </w:rPr>
        <w:t>*R</w:t>
      </w:r>
      <w:r w:rsidRPr="00221702">
        <w:rPr>
          <w:rFonts w:ascii="Arial" w:hAnsi="Arial" w:cs="Arial"/>
          <w:sz w:val="16"/>
          <w:szCs w:val="16"/>
        </w:rPr>
        <w:tab/>
        <w:t>(Reconstruction)</w:t>
      </w:r>
    </w:p>
    <w:p w:rsidR="00DA114C" w:rsidRPr="00221702" w:rsidRDefault="00357030" w:rsidP="00221702">
      <w:pPr>
        <w:spacing w:before="100" w:beforeAutospacing="1" w:line="48" w:lineRule="auto"/>
        <w:rPr>
          <w:rFonts w:ascii="Arial" w:hAnsi="Arial" w:cs="Arial"/>
          <w:sz w:val="16"/>
          <w:szCs w:val="16"/>
        </w:rPr>
      </w:pPr>
      <w:r w:rsidRPr="00221702">
        <w:rPr>
          <w:rFonts w:ascii="Arial" w:hAnsi="Arial" w:cs="Arial"/>
          <w:sz w:val="16"/>
          <w:szCs w:val="16"/>
        </w:rPr>
        <w:t>*</w:t>
      </w:r>
      <w:r w:rsidR="00DA114C" w:rsidRPr="00221702">
        <w:rPr>
          <w:rFonts w:ascii="Arial" w:hAnsi="Arial" w:cs="Arial"/>
          <w:sz w:val="16"/>
          <w:szCs w:val="16"/>
        </w:rPr>
        <w:t xml:space="preserve">O </w:t>
      </w:r>
      <w:r w:rsidR="00DA114C" w:rsidRPr="00221702">
        <w:rPr>
          <w:rFonts w:ascii="Arial" w:hAnsi="Arial" w:cs="Arial"/>
          <w:sz w:val="16"/>
          <w:szCs w:val="16"/>
        </w:rPr>
        <w:tab/>
        <w:t>(Overlay)</w:t>
      </w:r>
    </w:p>
    <w:tbl>
      <w:tblPr>
        <w:tblStyle w:val="TableGrid"/>
        <w:tblW w:w="8075" w:type="dxa"/>
        <w:tblLayout w:type="fixed"/>
        <w:tblLook w:val="04A0" w:firstRow="1" w:lastRow="0" w:firstColumn="1" w:lastColumn="0" w:noHBand="0" w:noVBand="1"/>
      </w:tblPr>
      <w:tblGrid>
        <w:gridCol w:w="1530"/>
        <w:gridCol w:w="3001"/>
        <w:gridCol w:w="1843"/>
        <w:gridCol w:w="1701"/>
      </w:tblGrid>
      <w:tr w:rsidR="00407188" w:rsidTr="00407188">
        <w:trPr>
          <w:trHeight w:val="632"/>
        </w:trPr>
        <w:tc>
          <w:tcPr>
            <w:tcW w:w="1530" w:type="dxa"/>
          </w:tcPr>
          <w:p w:rsidR="00407188" w:rsidRDefault="00407188" w:rsidP="00B04A95">
            <w:r>
              <w:t>Road Hierarchy</w:t>
            </w:r>
          </w:p>
        </w:tc>
        <w:tc>
          <w:tcPr>
            <w:tcW w:w="3001" w:type="dxa"/>
          </w:tcPr>
          <w:p w:rsidR="00407188" w:rsidRDefault="00407188" w:rsidP="00B04A95">
            <w:r>
              <w:t>Road Name</w:t>
            </w:r>
          </w:p>
        </w:tc>
        <w:tc>
          <w:tcPr>
            <w:tcW w:w="1843" w:type="dxa"/>
          </w:tcPr>
          <w:p w:rsidR="00407188" w:rsidRDefault="00407188" w:rsidP="00B04A95">
            <w:r>
              <w:t>Surfacing Type</w:t>
            </w:r>
          </w:p>
        </w:tc>
        <w:tc>
          <w:tcPr>
            <w:tcW w:w="1701" w:type="dxa"/>
          </w:tcPr>
          <w:p w:rsidR="00407188" w:rsidRDefault="00407188" w:rsidP="00B04A95">
            <w:r>
              <w:t>Cost</w:t>
            </w:r>
          </w:p>
        </w:tc>
      </w:tr>
      <w:tr w:rsidR="00407188" w:rsidTr="00407188">
        <w:tc>
          <w:tcPr>
            <w:tcW w:w="1530" w:type="dxa"/>
          </w:tcPr>
          <w:p w:rsidR="00407188" w:rsidRDefault="00407188" w:rsidP="00B04A95">
            <w:r>
              <w:t>B</w:t>
            </w:r>
          </w:p>
        </w:tc>
        <w:tc>
          <w:tcPr>
            <w:tcW w:w="3001" w:type="dxa"/>
          </w:tcPr>
          <w:p w:rsidR="00407188" w:rsidRPr="005D32B2" w:rsidRDefault="00407188" w:rsidP="00357030">
            <w:pPr>
              <w:pStyle w:val="ListParagraph"/>
              <w:numPr>
                <w:ilvl w:val="0"/>
                <w:numId w:val="3"/>
              </w:numPr>
              <w:rPr>
                <w:rFonts w:cstheme="minorHAnsi"/>
                <w:sz w:val="20"/>
                <w:szCs w:val="20"/>
              </w:rPr>
            </w:pPr>
            <w:r w:rsidRPr="005D32B2">
              <w:rPr>
                <w:rFonts w:cstheme="minorHAnsi"/>
                <w:sz w:val="20"/>
                <w:szCs w:val="20"/>
              </w:rPr>
              <w:t>Mitchley Avenue</w:t>
            </w:r>
          </w:p>
          <w:p w:rsidR="00407188" w:rsidRPr="005D32B2" w:rsidRDefault="00407188" w:rsidP="00357030">
            <w:pPr>
              <w:pStyle w:val="ListParagraph"/>
              <w:numPr>
                <w:ilvl w:val="0"/>
                <w:numId w:val="3"/>
              </w:numPr>
              <w:rPr>
                <w:rFonts w:cstheme="minorHAnsi"/>
                <w:sz w:val="20"/>
                <w:szCs w:val="20"/>
              </w:rPr>
            </w:pPr>
            <w:r w:rsidRPr="005D32B2">
              <w:rPr>
                <w:rFonts w:cstheme="minorHAnsi"/>
                <w:sz w:val="20"/>
                <w:szCs w:val="20"/>
              </w:rPr>
              <w:t>Portland Road</w:t>
            </w:r>
          </w:p>
          <w:p w:rsidR="00407188" w:rsidRPr="005D32B2" w:rsidRDefault="00407188" w:rsidP="00357030">
            <w:pPr>
              <w:pStyle w:val="ListParagraph"/>
              <w:numPr>
                <w:ilvl w:val="0"/>
                <w:numId w:val="3"/>
              </w:numPr>
              <w:rPr>
                <w:rFonts w:cstheme="minorHAnsi"/>
                <w:sz w:val="20"/>
                <w:szCs w:val="20"/>
              </w:rPr>
            </w:pPr>
            <w:r w:rsidRPr="005D32B2">
              <w:rPr>
                <w:rFonts w:cstheme="minorHAnsi"/>
                <w:sz w:val="20"/>
                <w:szCs w:val="20"/>
              </w:rPr>
              <w:t>Little Woodcote Lane</w:t>
            </w:r>
          </w:p>
          <w:p w:rsidR="00407188" w:rsidRPr="005D32B2" w:rsidRDefault="00407188" w:rsidP="00357030">
            <w:pPr>
              <w:pStyle w:val="ListParagraph"/>
              <w:numPr>
                <w:ilvl w:val="0"/>
                <w:numId w:val="3"/>
              </w:numPr>
              <w:rPr>
                <w:rFonts w:cstheme="minorHAnsi"/>
                <w:sz w:val="20"/>
                <w:szCs w:val="20"/>
              </w:rPr>
            </w:pPr>
            <w:r w:rsidRPr="005D32B2">
              <w:rPr>
                <w:rFonts w:cstheme="minorHAnsi"/>
                <w:sz w:val="20"/>
                <w:szCs w:val="20"/>
              </w:rPr>
              <w:t>Lion Green Road</w:t>
            </w:r>
          </w:p>
          <w:p w:rsidR="00407188" w:rsidRDefault="00407188" w:rsidP="00357030">
            <w:pPr>
              <w:pStyle w:val="ListParagraph"/>
              <w:numPr>
                <w:ilvl w:val="0"/>
                <w:numId w:val="3"/>
              </w:numPr>
            </w:pPr>
            <w:r w:rsidRPr="005D32B2">
              <w:rPr>
                <w:rFonts w:cstheme="minorHAnsi"/>
                <w:sz w:val="20"/>
                <w:szCs w:val="20"/>
              </w:rPr>
              <w:t>Addiscombe Grove</w:t>
            </w:r>
          </w:p>
        </w:tc>
        <w:tc>
          <w:tcPr>
            <w:tcW w:w="1843" w:type="dxa"/>
          </w:tcPr>
          <w:p w:rsidR="00407188" w:rsidRDefault="00407188" w:rsidP="00B04A95">
            <w:r w:rsidRPr="00350E4D">
              <w:t>PI</w:t>
            </w:r>
            <w:r w:rsidRPr="00350E4D">
              <w:rPr>
                <w:sz w:val="12"/>
              </w:rPr>
              <w:t>WB</w:t>
            </w:r>
          </w:p>
          <w:p w:rsidR="00407188" w:rsidRDefault="00407188" w:rsidP="00B04A95">
            <w:r w:rsidRPr="00350E4D">
              <w:t>PI</w:t>
            </w:r>
            <w:r w:rsidRPr="00350E4D">
              <w:rPr>
                <w:sz w:val="12"/>
              </w:rPr>
              <w:t>WB</w:t>
            </w:r>
          </w:p>
          <w:p w:rsidR="00407188" w:rsidRDefault="00407188" w:rsidP="00AB2F80">
            <w:pPr>
              <w:rPr>
                <w:sz w:val="14"/>
              </w:rPr>
            </w:pPr>
            <w:r>
              <w:t>Pl</w:t>
            </w:r>
            <w:r w:rsidRPr="00AB2F80">
              <w:rPr>
                <w:sz w:val="14"/>
              </w:rPr>
              <w:t>w</w:t>
            </w:r>
          </w:p>
          <w:p w:rsidR="00407188" w:rsidRDefault="00407188" w:rsidP="00AB2F80">
            <w:pPr>
              <w:rPr>
                <w:sz w:val="10"/>
              </w:rPr>
            </w:pPr>
            <w:r w:rsidRPr="00AB2F80">
              <w:t>PI</w:t>
            </w:r>
            <w:r w:rsidRPr="00AB2F80">
              <w:rPr>
                <w:sz w:val="10"/>
              </w:rPr>
              <w:t>W</w:t>
            </w:r>
          </w:p>
          <w:p w:rsidR="00407188" w:rsidRPr="00AB2F80" w:rsidRDefault="00407188" w:rsidP="00AB2F80">
            <w:r w:rsidRPr="00350E4D">
              <w:t>PI</w:t>
            </w:r>
            <w:r w:rsidRPr="00350E4D">
              <w:rPr>
                <w:sz w:val="12"/>
              </w:rPr>
              <w:t>WB</w:t>
            </w:r>
          </w:p>
        </w:tc>
        <w:tc>
          <w:tcPr>
            <w:tcW w:w="1701" w:type="dxa"/>
          </w:tcPr>
          <w:p w:rsidR="00407188" w:rsidRPr="00FE4E8E" w:rsidRDefault="00407188" w:rsidP="00024B2F">
            <w:pPr>
              <w:spacing w:line="360" w:lineRule="auto"/>
              <w:rPr>
                <w:rFonts w:ascii="Arial" w:hAnsi="Arial" w:cs="Arial"/>
                <w:sz w:val="16"/>
                <w:szCs w:val="16"/>
              </w:rPr>
            </w:pPr>
            <w:r w:rsidRPr="00FE4E8E">
              <w:rPr>
                <w:rFonts w:ascii="Arial" w:hAnsi="Arial" w:cs="Arial"/>
                <w:sz w:val="16"/>
                <w:szCs w:val="16"/>
              </w:rPr>
              <w:t>£   155,000.00</w:t>
            </w:r>
            <w:r w:rsidRPr="00FE4E8E">
              <w:rPr>
                <w:rFonts w:ascii="Arial" w:hAnsi="Arial" w:cs="Arial"/>
                <w:sz w:val="16"/>
                <w:szCs w:val="16"/>
              </w:rPr>
              <w:fldChar w:fldCharType="begin"/>
            </w:r>
            <w:r w:rsidRPr="00FE4E8E">
              <w:rPr>
                <w:rFonts w:ascii="Arial" w:hAnsi="Arial" w:cs="Arial"/>
                <w:sz w:val="16"/>
                <w:szCs w:val="16"/>
              </w:rPr>
              <w:instrText xml:space="preserve"> LINK Excel.Sheet.12 "C:\\Users\\070373\\AppData\\Local\\Microsoft\\Windows\\INetCache\\Content.Outlook\\HPZ5HHLN\\11 jul 19 at 10.36am.xlsx" "11 jul 19 at 10.36am!R7128C27" \a \f 5 \h  \* MERGEFORMAT </w:instrText>
            </w:r>
            <w:r w:rsidRPr="00FE4E8E">
              <w:rPr>
                <w:rFonts w:ascii="Arial" w:hAnsi="Arial" w:cs="Arial"/>
                <w:sz w:val="16"/>
                <w:szCs w:val="16"/>
              </w:rPr>
              <w:fldChar w:fldCharType="separate"/>
            </w:r>
          </w:p>
          <w:p w:rsidR="00407188" w:rsidRPr="00FE4E8E" w:rsidRDefault="00407188" w:rsidP="00024B2F">
            <w:pPr>
              <w:spacing w:line="360" w:lineRule="auto"/>
              <w:rPr>
                <w:rFonts w:ascii="Arial" w:hAnsi="Arial" w:cs="Arial"/>
                <w:sz w:val="16"/>
                <w:szCs w:val="16"/>
              </w:rPr>
            </w:pPr>
            <w:r w:rsidRPr="00FE4E8E">
              <w:rPr>
                <w:rFonts w:ascii="Arial" w:hAnsi="Arial" w:cs="Arial"/>
                <w:sz w:val="16"/>
                <w:szCs w:val="16"/>
              </w:rPr>
              <w:t xml:space="preserve">£     96,658.64 </w:t>
            </w:r>
          </w:p>
          <w:p w:rsidR="00407188" w:rsidRPr="00FE4E8E" w:rsidRDefault="00407188" w:rsidP="00024B2F">
            <w:pPr>
              <w:spacing w:line="360" w:lineRule="auto"/>
              <w:rPr>
                <w:rFonts w:ascii="Arial" w:hAnsi="Arial" w:cs="Arial"/>
                <w:sz w:val="16"/>
                <w:szCs w:val="16"/>
              </w:rPr>
            </w:pPr>
            <w:r w:rsidRPr="00FE4E8E">
              <w:rPr>
                <w:rFonts w:ascii="Arial" w:hAnsi="Arial" w:cs="Arial"/>
                <w:sz w:val="16"/>
                <w:szCs w:val="16"/>
              </w:rPr>
              <w:fldChar w:fldCharType="end"/>
            </w:r>
            <w:r w:rsidRPr="00FE4E8E">
              <w:rPr>
                <w:rFonts w:ascii="Arial" w:hAnsi="Arial" w:cs="Arial"/>
                <w:sz w:val="16"/>
                <w:szCs w:val="16"/>
              </w:rPr>
              <w:t xml:space="preserve">£       9,908.93 </w:t>
            </w:r>
          </w:p>
          <w:p w:rsidR="00407188" w:rsidRPr="00FE4E8E" w:rsidRDefault="00407188" w:rsidP="00024B2F">
            <w:pPr>
              <w:spacing w:line="360" w:lineRule="auto"/>
              <w:rPr>
                <w:rFonts w:ascii="Arial" w:hAnsi="Arial" w:cs="Arial"/>
                <w:sz w:val="16"/>
                <w:szCs w:val="16"/>
              </w:rPr>
            </w:pPr>
            <w:r w:rsidRPr="00FE4E8E">
              <w:rPr>
                <w:rFonts w:ascii="Arial" w:hAnsi="Arial" w:cs="Arial"/>
                <w:sz w:val="16"/>
                <w:szCs w:val="16"/>
              </w:rPr>
              <w:t xml:space="preserve">£       9,710.57 </w:t>
            </w:r>
          </w:p>
          <w:p w:rsidR="00407188" w:rsidRPr="00FE4E8E" w:rsidRDefault="00407188" w:rsidP="00024B2F">
            <w:pPr>
              <w:spacing w:line="360" w:lineRule="auto"/>
              <w:rPr>
                <w:rFonts w:ascii="Arial" w:hAnsi="Arial" w:cs="Arial"/>
                <w:sz w:val="16"/>
                <w:szCs w:val="16"/>
              </w:rPr>
            </w:pPr>
            <w:r w:rsidRPr="00FE4E8E">
              <w:rPr>
                <w:rFonts w:ascii="Arial" w:hAnsi="Arial" w:cs="Arial"/>
                <w:sz w:val="16"/>
                <w:szCs w:val="16"/>
              </w:rPr>
              <w:t>£     59,830.87</w:t>
            </w:r>
          </w:p>
          <w:p w:rsidR="00407188" w:rsidRPr="00FE4E8E" w:rsidRDefault="00407188" w:rsidP="00F57668">
            <w:pPr>
              <w:rPr>
                <w:sz w:val="16"/>
                <w:szCs w:val="16"/>
              </w:rPr>
            </w:pPr>
          </w:p>
        </w:tc>
      </w:tr>
      <w:tr w:rsidR="00407188" w:rsidTr="00407188">
        <w:tc>
          <w:tcPr>
            <w:tcW w:w="1530" w:type="dxa"/>
          </w:tcPr>
          <w:p w:rsidR="00407188" w:rsidRDefault="00407188" w:rsidP="00B04A95">
            <w:r>
              <w:t>C</w:t>
            </w:r>
          </w:p>
        </w:tc>
        <w:tc>
          <w:tcPr>
            <w:tcW w:w="3001" w:type="dxa"/>
          </w:tcPr>
          <w:p w:rsidR="00407188" w:rsidRPr="00FE4E8E" w:rsidRDefault="00407188" w:rsidP="00357030">
            <w:pPr>
              <w:pStyle w:val="ListParagraph"/>
              <w:numPr>
                <w:ilvl w:val="0"/>
                <w:numId w:val="3"/>
              </w:numPr>
              <w:rPr>
                <w:sz w:val="20"/>
                <w:szCs w:val="20"/>
              </w:rPr>
            </w:pPr>
            <w:r w:rsidRPr="00FE4E8E">
              <w:rPr>
                <w:sz w:val="20"/>
                <w:szCs w:val="20"/>
              </w:rPr>
              <w:t>Featherbed Lane</w:t>
            </w:r>
          </w:p>
          <w:p w:rsidR="00407188" w:rsidRDefault="00407188" w:rsidP="00357030">
            <w:pPr>
              <w:pStyle w:val="ListParagraph"/>
              <w:numPr>
                <w:ilvl w:val="0"/>
                <w:numId w:val="3"/>
              </w:numPr>
            </w:pPr>
            <w:r w:rsidRPr="00FE4E8E">
              <w:rPr>
                <w:sz w:val="20"/>
                <w:szCs w:val="20"/>
              </w:rPr>
              <w:t>Lodge Lane</w:t>
            </w:r>
          </w:p>
        </w:tc>
        <w:tc>
          <w:tcPr>
            <w:tcW w:w="1843" w:type="dxa"/>
          </w:tcPr>
          <w:p w:rsidR="00407188" w:rsidRDefault="00407188" w:rsidP="00B04A95">
            <w:pPr>
              <w:rPr>
                <w:sz w:val="16"/>
              </w:rPr>
            </w:pPr>
            <w:r>
              <w:t>PI</w:t>
            </w:r>
            <w:r w:rsidRPr="00350E4D">
              <w:rPr>
                <w:sz w:val="12"/>
              </w:rPr>
              <w:t>W</w:t>
            </w:r>
          </w:p>
          <w:p w:rsidR="00407188" w:rsidRDefault="00407188" w:rsidP="00B04A95">
            <w:pPr>
              <w:rPr>
                <w:sz w:val="12"/>
              </w:rPr>
            </w:pPr>
            <w:r w:rsidRPr="00350E4D">
              <w:t>PI</w:t>
            </w:r>
            <w:r w:rsidRPr="00350E4D">
              <w:rPr>
                <w:sz w:val="12"/>
              </w:rPr>
              <w:t>WB</w:t>
            </w:r>
          </w:p>
          <w:p w:rsidR="00407188" w:rsidRDefault="00407188" w:rsidP="00B04A95"/>
        </w:tc>
        <w:tc>
          <w:tcPr>
            <w:tcW w:w="1701" w:type="dxa"/>
          </w:tcPr>
          <w:p w:rsidR="00407188" w:rsidRPr="00FE4E8E" w:rsidRDefault="00407188" w:rsidP="00221702">
            <w:pPr>
              <w:spacing w:line="360" w:lineRule="auto"/>
              <w:rPr>
                <w:rFonts w:ascii="Arial" w:hAnsi="Arial" w:cs="Arial"/>
                <w:sz w:val="16"/>
                <w:szCs w:val="16"/>
              </w:rPr>
            </w:pPr>
            <w:r w:rsidRPr="00FE4E8E">
              <w:rPr>
                <w:rFonts w:ascii="Arial" w:hAnsi="Arial" w:cs="Arial"/>
                <w:sz w:val="16"/>
                <w:szCs w:val="16"/>
              </w:rPr>
              <w:t xml:space="preserve">£     47,760.28 </w:t>
            </w:r>
          </w:p>
          <w:p w:rsidR="00407188" w:rsidRPr="00FE4E8E" w:rsidRDefault="00407188" w:rsidP="00221702">
            <w:pPr>
              <w:spacing w:line="360" w:lineRule="auto"/>
              <w:rPr>
                <w:rFonts w:ascii="Arial" w:hAnsi="Arial" w:cs="Arial"/>
                <w:sz w:val="16"/>
                <w:szCs w:val="16"/>
              </w:rPr>
            </w:pPr>
            <w:r w:rsidRPr="00FE4E8E">
              <w:rPr>
                <w:rFonts w:ascii="Arial" w:hAnsi="Arial" w:cs="Arial"/>
                <w:sz w:val="16"/>
                <w:szCs w:val="16"/>
              </w:rPr>
              <w:t xml:space="preserve">£     95,753.31 </w:t>
            </w:r>
          </w:p>
          <w:p w:rsidR="00407188" w:rsidRPr="00F57668" w:rsidRDefault="00407188" w:rsidP="00B04A95">
            <w:pPr>
              <w:rPr>
                <w:sz w:val="16"/>
                <w:szCs w:val="16"/>
              </w:rPr>
            </w:pPr>
          </w:p>
        </w:tc>
      </w:tr>
      <w:tr w:rsidR="00407188" w:rsidTr="00407188">
        <w:tc>
          <w:tcPr>
            <w:tcW w:w="1530" w:type="dxa"/>
          </w:tcPr>
          <w:p w:rsidR="00407188" w:rsidRDefault="00407188" w:rsidP="00B04A95">
            <w:r>
              <w:t>D</w:t>
            </w:r>
          </w:p>
        </w:tc>
        <w:tc>
          <w:tcPr>
            <w:tcW w:w="3001" w:type="dxa"/>
          </w:tcPr>
          <w:p w:rsidR="00407188" w:rsidRPr="00FE4E8E" w:rsidRDefault="00407188" w:rsidP="00357030">
            <w:pPr>
              <w:pStyle w:val="ListParagraph"/>
              <w:numPr>
                <w:ilvl w:val="0"/>
                <w:numId w:val="3"/>
              </w:numPr>
              <w:rPr>
                <w:sz w:val="20"/>
                <w:szCs w:val="20"/>
              </w:rPr>
            </w:pPr>
            <w:r w:rsidRPr="00FE4E8E">
              <w:rPr>
                <w:sz w:val="20"/>
                <w:szCs w:val="20"/>
              </w:rPr>
              <w:t>Homestead Way</w:t>
            </w:r>
          </w:p>
          <w:p w:rsidR="00407188" w:rsidRDefault="00407188" w:rsidP="00357030">
            <w:pPr>
              <w:pStyle w:val="ListParagraph"/>
              <w:numPr>
                <w:ilvl w:val="0"/>
                <w:numId w:val="3"/>
              </w:numPr>
            </w:pPr>
            <w:r w:rsidRPr="00FE4E8E">
              <w:rPr>
                <w:sz w:val="20"/>
                <w:szCs w:val="20"/>
              </w:rPr>
              <w:t>Chevening Road</w:t>
            </w:r>
          </w:p>
        </w:tc>
        <w:tc>
          <w:tcPr>
            <w:tcW w:w="1843" w:type="dxa"/>
          </w:tcPr>
          <w:p w:rsidR="00407188" w:rsidRDefault="00407188" w:rsidP="008F1C12">
            <w:pPr>
              <w:rPr>
                <w:sz w:val="16"/>
              </w:rPr>
            </w:pPr>
            <w:r>
              <w:t>PI</w:t>
            </w:r>
            <w:r w:rsidRPr="00350E4D">
              <w:rPr>
                <w:sz w:val="12"/>
              </w:rPr>
              <w:t>W</w:t>
            </w:r>
          </w:p>
          <w:p w:rsidR="00407188" w:rsidRDefault="00407188" w:rsidP="008F1C12">
            <w:pPr>
              <w:rPr>
                <w:sz w:val="16"/>
              </w:rPr>
            </w:pPr>
            <w:r>
              <w:t>PI</w:t>
            </w:r>
            <w:r w:rsidRPr="00350E4D">
              <w:rPr>
                <w:sz w:val="12"/>
              </w:rPr>
              <w:t>W</w:t>
            </w:r>
          </w:p>
          <w:p w:rsidR="00407188" w:rsidRDefault="00407188" w:rsidP="00B04A95"/>
        </w:tc>
        <w:tc>
          <w:tcPr>
            <w:tcW w:w="1701" w:type="dxa"/>
          </w:tcPr>
          <w:p w:rsidR="00407188" w:rsidRPr="00FE4E8E" w:rsidRDefault="00407188" w:rsidP="00221702">
            <w:pPr>
              <w:spacing w:line="360" w:lineRule="auto"/>
              <w:rPr>
                <w:rFonts w:ascii="Arial" w:hAnsi="Arial" w:cs="Arial"/>
                <w:sz w:val="16"/>
                <w:szCs w:val="16"/>
              </w:rPr>
            </w:pPr>
            <w:r w:rsidRPr="00FE4E8E">
              <w:rPr>
                <w:rFonts w:ascii="Arial" w:hAnsi="Arial" w:cs="Arial"/>
                <w:sz w:val="16"/>
                <w:szCs w:val="16"/>
              </w:rPr>
              <w:t xml:space="preserve">£  </w:t>
            </w:r>
            <w:r>
              <w:rPr>
                <w:rFonts w:ascii="Arial" w:hAnsi="Arial" w:cs="Arial"/>
                <w:sz w:val="16"/>
                <w:szCs w:val="16"/>
              </w:rPr>
              <w:t xml:space="preserve">   </w:t>
            </w:r>
            <w:r w:rsidRPr="00FE4E8E">
              <w:rPr>
                <w:rFonts w:ascii="Arial" w:hAnsi="Arial" w:cs="Arial"/>
                <w:sz w:val="16"/>
                <w:szCs w:val="16"/>
              </w:rPr>
              <w:t xml:space="preserve">37,628.06 </w:t>
            </w:r>
          </w:p>
          <w:p w:rsidR="00407188" w:rsidRPr="00FE4E8E" w:rsidRDefault="00407188" w:rsidP="00221702">
            <w:pPr>
              <w:spacing w:line="360" w:lineRule="auto"/>
              <w:rPr>
                <w:rFonts w:ascii="Arial" w:hAnsi="Arial" w:cs="Arial"/>
                <w:sz w:val="16"/>
                <w:szCs w:val="16"/>
              </w:rPr>
            </w:pPr>
            <w:r w:rsidRPr="00FE4E8E">
              <w:rPr>
                <w:rFonts w:ascii="Arial" w:hAnsi="Arial" w:cs="Arial"/>
                <w:sz w:val="16"/>
                <w:szCs w:val="16"/>
              </w:rPr>
              <w:t xml:space="preserve">£  </w:t>
            </w:r>
            <w:r>
              <w:rPr>
                <w:rFonts w:ascii="Arial" w:hAnsi="Arial" w:cs="Arial"/>
                <w:sz w:val="16"/>
                <w:szCs w:val="16"/>
              </w:rPr>
              <w:t xml:space="preserve">   </w:t>
            </w:r>
            <w:r w:rsidRPr="00FE4E8E">
              <w:rPr>
                <w:rFonts w:ascii="Arial" w:hAnsi="Arial" w:cs="Arial"/>
                <w:sz w:val="16"/>
                <w:szCs w:val="16"/>
              </w:rPr>
              <w:t xml:space="preserve">55,038.83 </w:t>
            </w:r>
          </w:p>
          <w:p w:rsidR="00407188" w:rsidRPr="006607A5" w:rsidRDefault="00407188" w:rsidP="00221702">
            <w:pPr>
              <w:spacing w:line="360" w:lineRule="auto"/>
              <w:rPr>
                <w:sz w:val="16"/>
                <w:szCs w:val="16"/>
              </w:rPr>
            </w:pPr>
          </w:p>
        </w:tc>
      </w:tr>
      <w:tr w:rsidR="00407188" w:rsidTr="00407188">
        <w:tc>
          <w:tcPr>
            <w:tcW w:w="1530" w:type="dxa"/>
          </w:tcPr>
          <w:p w:rsidR="00407188" w:rsidRDefault="00407188" w:rsidP="00B04A95">
            <w:r>
              <w:t>E</w:t>
            </w:r>
          </w:p>
        </w:tc>
        <w:tc>
          <w:tcPr>
            <w:tcW w:w="3001" w:type="dxa"/>
          </w:tcPr>
          <w:p w:rsidR="00407188" w:rsidRPr="00FE4E8E" w:rsidRDefault="00407188" w:rsidP="00357030">
            <w:pPr>
              <w:pStyle w:val="ListParagraph"/>
              <w:numPr>
                <w:ilvl w:val="0"/>
                <w:numId w:val="1"/>
              </w:numPr>
              <w:rPr>
                <w:sz w:val="20"/>
                <w:szCs w:val="20"/>
              </w:rPr>
            </w:pPr>
            <w:r w:rsidRPr="00FE4E8E">
              <w:rPr>
                <w:sz w:val="20"/>
                <w:szCs w:val="20"/>
              </w:rPr>
              <w:t>Vulcan Way</w:t>
            </w:r>
          </w:p>
          <w:p w:rsidR="00407188" w:rsidRDefault="00407188" w:rsidP="008F1C12">
            <w:pPr>
              <w:pStyle w:val="ListParagraph"/>
            </w:pPr>
          </w:p>
        </w:tc>
        <w:tc>
          <w:tcPr>
            <w:tcW w:w="1843" w:type="dxa"/>
          </w:tcPr>
          <w:p w:rsidR="00407188" w:rsidRDefault="00407188" w:rsidP="00350E4D">
            <w:pPr>
              <w:rPr>
                <w:sz w:val="16"/>
              </w:rPr>
            </w:pPr>
            <w:r>
              <w:t>R</w:t>
            </w:r>
          </w:p>
          <w:p w:rsidR="00407188" w:rsidRDefault="00407188" w:rsidP="008F1C12"/>
        </w:tc>
        <w:tc>
          <w:tcPr>
            <w:tcW w:w="1701" w:type="dxa"/>
          </w:tcPr>
          <w:p w:rsidR="00407188" w:rsidRPr="00FE4E8E" w:rsidRDefault="00407188" w:rsidP="00FE4E8E">
            <w:pPr>
              <w:spacing w:line="276" w:lineRule="auto"/>
              <w:rPr>
                <w:rFonts w:ascii="Arial" w:hAnsi="Arial" w:cs="Arial"/>
                <w:sz w:val="16"/>
                <w:szCs w:val="16"/>
              </w:rPr>
            </w:pPr>
            <w:r w:rsidRPr="00FE4E8E">
              <w:rPr>
                <w:rFonts w:ascii="Arial" w:hAnsi="Arial" w:cs="Arial"/>
                <w:sz w:val="16"/>
                <w:szCs w:val="16"/>
              </w:rPr>
              <w:t xml:space="preserve">£  </w:t>
            </w:r>
            <w:r>
              <w:rPr>
                <w:rFonts w:ascii="Arial" w:hAnsi="Arial" w:cs="Arial"/>
                <w:sz w:val="16"/>
                <w:szCs w:val="16"/>
              </w:rPr>
              <w:t xml:space="preserve">   </w:t>
            </w:r>
            <w:r w:rsidRPr="00FE4E8E">
              <w:rPr>
                <w:rFonts w:ascii="Arial" w:hAnsi="Arial" w:cs="Arial"/>
                <w:sz w:val="16"/>
                <w:szCs w:val="16"/>
              </w:rPr>
              <w:t xml:space="preserve">46,483.78 </w:t>
            </w:r>
          </w:p>
          <w:p w:rsidR="00407188" w:rsidRPr="00F57668" w:rsidRDefault="00407188" w:rsidP="00B04A95">
            <w:pPr>
              <w:rPr>
                <w:sz w:val="16"/>
                <w:szCs w:val="16"/>
              </w:rPr>
            </w:pPr>
          </w:p>
        </w:tc>
      </w:tr>
    </w:tbl>
    <w:p w:rsidR="0017052C" w:rsidRDefault="0017052C" w:rsidP="00B04A95">
      <w:pPr>
        <w:rPr>
          <w:b/>
        </w:rPr>
      </w:pPr>
    </w:p>
    <w:p w:rsidR="00A269A7" w:rsidRPr="00A269A7" w:rsidRDefault="00A269A7" w:rsidP="00B04A95">
      <w:pPr>
        <w:rPr>
          <w:b/>
        </w:rPr>
      </w:pPr>
      <w:r w:rsidRPr="00A269A7">
        <w:rPr>
          <w:b/>
        </w:rPr>
        <w:lastRenderedPageBreak/>
        <w:t xml:space="preserve">Footway improvement </w:t>
      </w:r>
      <w:r w:rsidR="0017052C" w:rsidRPr="00A269A7">
        <w:rPr>
          <w:b/>
        </w:rPr>
        <w:t>Works</w:t>
      </w:r>
      <w:r w:rsidR="0017052C" w:rsidRPr="00912B99">
        <w:t xml:space="preserve"> (</w:t>
      </w:r>
      <w:r w:rsidR="0017052C" w:rsidRPr="0017052C">
        <w:rPr>
          <w:rFonts w:ascii="Arial" w:hAnsi="Arial" w:cs="Arial"/>
          <w:sz w:val="16"/>
          <w:szCs w:val="16"/>
        </w:rPr>
        <w:t>Planned Maintenance)</w:t>
      </w:r>
    </w:p>
    <w:p w:rsidR="008F1C12" w:rsidRDefault="008F1C12" w:rsidP="00B04A95">
      <w:pPr>
        <w:rPr>
          <w:rFonts w:ascii="Arial" w:hAnsi="Arial" w:cs="Arial"/>
          <w:sz w:val="16"/>
          <w:szCs w:val="16"/>
        </w:rPr>
      </w:pPr>
      <w:r w:rsidRPr="00D73393">
        <w:rPr>
          <w:rFonts w:ascii="Arial" w:hAnsi="Arial" w:cs="Arial"/>
          <w:sz w:val="16"/>
          <w:szCs w:val="16"/>
        </w:rPr>
        <w:t xml:space="preserve">*S&amp;R </w:t>
      </w:r>
      <w:r w:rsidR="00D832F6">
        <w:rPr>
          <w:rFonts w:ascii="Arial" w:hAnsi="Arial" w:cs="Arial"/>
          <w:sz w:val="16"/>
          <w:szCs w:val="16"/>
        </w:rPr>
        <w:tab/>
      </w:r>
      <w:bookmarkStart w:id="0" w:name="_GoBack"/>
      <w:bookmarkEnd w:id="0"/>
      <w:r w:rsidRPr="00D73393">
        <w:rPr>
          <w:rFonts w:ascii="Arial" w:hAnsi="Arial" w:cs="Arial"/>
          <w:sz w:val="16"/>
          <w:szCs w:val="16"/>
        </w:rPr>
        <w:t>(Strip and Relay)</w:t>
      </w:r>
    </w:p>
    <w:p w:rsidR="00D73393" w:rsidRPr="00D73393" w:rsidRDefault="00D73393" w:rsidP="00B04A95">
      <w:pPr>
        <w:rPr>
          <w:rFonts w:ascii="Arial" w:hAnsi="Arial" w:cs="Arial"/>
          <w:sz w:val="16"/>
          <w:szCs w:val="16"/>
        </w:rPr>
      </w:pPr>
      <w:r>
        <w:rPr>
          <w:rFonts w:ascii="Arial" w:hAnsi="Arial" w:cs="Arial"/>
          <w:sz w:val="16"/>
          <w:szCs w:val="16"/>
        </w:rPr>
        <w:t>*R</w:t>
      </w:r>
      <w:r w:rsidR="00407188">
        <w:rPr>
          <w:rFonts w:ascii="Arial" w:hAnsi="Arial" w:cs="Arial"/>
          <w:sz w:val="16"/>
          <w:szCs w:val="16"/>
        </w:rPr>
        <w:t xml:space="preserve"> </w:t>
      </w:r>
      <w:r w:rsidR="00D832F6">
        <w:rPr>
          <w:rFonts w:ascii="Arial" w:hAnsi="Arial" w:cs="Arial"/>
          <w:sz w:val="16"/>
          <w:szCs w:val="16"/>
        </w:rPr>
        <w:tab/>
      </w:r>
      <w:r w:rsidR="00407188">
        <w:rPr>
          <w:rFonts w:ascii="Arial" w:hAnsi="Arial" w:cs="Arial"/>
          <w:sz w:val="16"/>
          <w:szCs w:val="16"/>
        </w:rPr>
        <w:t>(Reconstruction)</w:t>
      </w:r>
    </w:p>
    <w:tbl>
      <w:tblPr>
        <w:tblStyle w:val="TableGrid"/>
        <w:tblW w:w="0" w:type="auto"/>
        <w:tblLook w:val="04A0" w:firstRow="1" w:lastRow="0" w:firstColumn="1" w:lastColumn="0" w:noHBand="0" w:noVBand="1"/>
      </w:tblPr>
      <w:tblGrid>
        <w:gridCol w:w="1803"/>
        <w:gridCol w:w="2728"/>
        <w:gridCol w:w="1843"/>
        <w:gridCol w:w="1701"/>
      </w:tblGrid>
      <w:tr w:rsidR="00407188" w:rsidTr="00D73393">
        <w:trPr>
          <w:trHeight w:val="569"/>
        </w:trPr>
        <w:tc>
          <w:tcPr>
            <w:tcW w:w="1803" w:type="dxa"/>
          </w:tcPr>
          <w:p w:rsidR="00407188" w:rsidRDefault="00407188" w:rsidP="00BD6413">
            <w:r>
              <w:t>Footway Hierarchy</w:t>
            </w:r>
          </w:p>
        </w:tc>
        <w:tc>
          <w:tcPr>
            <w:tcW w:w="2728" w:type="dxa"/>
          </w:tcPr>
          <w:p w:rsidR="00407188" w:rsidRDefault="00407188" w:rsidP="00BD6413">
            <w:r>
              <w:t>Road Name</w:t>
            </w:r>
          </w:p>
        </w:tc>
        <w:tc>
          <w:tcPr>
            <w:tcW w:w="1843" w:type="dxa"/>
          </w:tcPr>
          <w:p w:rsidR="00407188" w:rsidRDefault="00407188" w:rsidP="00BD6413">
            <w:r>
              <w:t>Surfacing Type</w:t>
            </w:r>
          </w:p>
        </w:tc>
        <w:tc>
          <w:tcPr>
            <w:tcW w:w="1701" w:type="dxa"/>
          </w:tcPr>
          <w:p w:rsidR="00407188" w:rsidRDefault="00407188" w:rsidP="00BD6413">
            <w:r>
              <w:t>Cost</w:t>
            </w:r>
          </w:p>
        </w:tc>
      </w:tr>
      <w:tr w:rsidR="00407188" w:rsidTr="00AB2F80">
        <w:tc>
          <w:tcPr>
            <w:tcW w:w="1803" w:type="dxa"/>
          </w:tcPr>
          <w:p w:rsidR="00407188" w:rsidRDefault="00407188" w:rsidP="00BD6413">
            <w:r>
              <w:t>C</w:t>
            </w:r>
          </w:p>
        </w:tc>
        <w:tc>
          <w:tcPr>
            <w:tcW w:w="2728" w:type="dxa"/>
          </w:tcPr>
          <w:p w:rsidR="00407188" w:rsidRPr="00FE4E8E" w:rsidRDefault="00407188" w:rsidP="00FE4E8E">
            <w:pPr>
              <w:pStyle w:val="ListParagraph"/>
              <w:numPr>
                <w:ilvl w:val="0"/>
                <w:numId w:val="1"/>
              </w:numPr>
              <w:rPr>
                <w:sz w:val="20"/>
                <w:szCs w:val="20"/>
              </w:rPr>
            </w:pPr>
            <w:r w:rsidRPr="00FE4E8E">
              <w:rPr>
                <w:sz w:val="20"/>
                <w:szCs w:val="20"/>
              </w:rPr>
              <w:t>Woodside Green</w:t>
            </w:r>
          </w:p>
        </w:tc>
        <w:tc>
          <w:tcPr>
            <w:tcW w:w="1843" w:type="dxa"/>
          </w:tcPr>
          <w:p w:rsidR="00407188" w:rsidRPr="00D73393" w:rsidRDefault="00407188" w:rsidP="00D73393">
            <w:pPr>
              <w:spacing w:line="360" w:lineRule="auto"/>
              <w:rPr>
                <w:rFonts w:ascii="Arial" w:hAnsi="Arial" w:cs="Arial"/>
                <w:sz w:val="16"/>
                <w:szCs w:val="16"/>
              </w:rPr>
            </w:pPr>
            <w:r w:rsidRPr="00D73393">
              <w:rPr>
                <w:rFonts w:ascii="Arial" w:hAnsi="Arial" w:cs="Arial"/>
                <w:sz w:val="16"/>
                <w:szCs w:val="16"/>
              </w:rPr>
              <w:t>S&amp;R</w:t>
            </w:r>
          </w:p>
        </w:tc>
        <w:tc>
          <w:tcPr>
            <w:tcW w:w="1701" w:type="dxa"/>
          </w:tcPr>
          <w:p w:rsidR="00407188" w:rsidRPr="00FE4E8E" w:rsidRDefault="00407188" w:rsidP="00FE4E8E">
            <w:pPr>
              <w:rPr>
                <w:rFonts w:ascii="Arial" w:hAnsi="Arial" w:cs="Arial"/>
                <w:sz w:val="16"/>
                <w:szCs w:val="16"/>
              </w:rPr>
            </w:pPr>
            <w:r w:rsidRPr="00FE4E8E">
              <w:rPr>
                <w:rFonts w:ascii="Arial" w:hAnsi="Arial" w:cs="Arial"/>
                <w:sz w:val="16"/>
                <w:szCs w:val="16"/>
              </w:rPr>
              <w:t xml:space="preserve">£  </w:t>
            </w:r>
            <w:r>
              <w:rPr>
                <w:rFonts w:ascii="Arial" w:hAnsi="Arial" w:cs="Arial"/>
                <w:sz w:val="16"/>
                <w:szCs w:val="16"/>
              </w:rPr>
              <w:t xml:space="preserve">   </w:t>
            </w:r>
            <w:r w:rsidRPr="00FE4E8E">
              <w:rPr>
                <w:rFonts w:ascii="Arial" w:hAnsi="Arial" w:cs="Arial"/>
                <w:sz w:val="16"/>
                <w:szCs w:val="16"/>
              </w:rPr>
              <w:t xml:space="preserve">10,338.51 </w:t>
            </w:r>
          </w:p>
          <w:p w:rsidR="00407188" w:rsidRDefault="00407188" w:rsidP="00BD6413">
            <w:r>
              <w:t xml:space="preserve"> </w:t>
            </w:r>
          </w:p>
        </w:tc>
      </w:tr>
      <w:tr w:rsidR="00407188" w:rsidTr="00AB2F80">
        <w:tc>
          <w:tcPr>
            <w:tcW w:w="1803" w:type="dxa"/>
          </w:tcPr>
          <w:p w:rsidR="00407188" w:rsidRDefault="00407188" w:rsidP="00BD6413">
            <w:r>
              <w:t>D</w:t>
            </w:r>
          </w:p>
          <w:p w:rsidR="00407188" w:rsidRDefault="00407188" w:rsidP="00BD6413"/>
        </w:tc>
        <w:tc>
          <w:tcPr>
            <w:tcW w:w="2728" w:type="dxa"/>
          </w:tcPr>
          <w:p w:rsidR="00407188" w:rsidRDefault="00407188" w:rsidP="00FE4E8E">
            <w:pPr>
              <w:pStyle w:val="ListParagraph"/>
              <w:numPr>
                <w:ilvl w:val="0"/>
                <w:numId w:val="1"/>
              </w:numPr>
              <w:rPr>
                <w:sz w:val="20"/>
                <w:szCs w:val="20"/>
              </w:rPr>
            </w:pPr>
            <w:r w:rsidRPr="00FE4E8E">
              <w:rPr>
                <w:sz w:val="20"/>
                <w:szCs w:val="20"/>
              </w:rPr>
              <w:t>Westleigh Avenue</w:t>
            </w:r>
          </w:p>
          <w:p w:rsidR="00407188" w:rsidRPr="00FE4E8E" w:rsidRDefault="00407188" w:rsidP="00FE4E8E">
            <w:pPr>
              <w:pStyle w:val="ListParagraph"/>
              <w:numPr>
                <w:ilvl w:val="0"/>
                <w:numId w:val="1"/>
              </w:numPr>
              <w:rPr>
                <w:sz w:val="20"/>
                <w:szCs w:val="20"/>
              </w:rPr>
            </w:pPr>
            <w:r>
              <w:rPr>
                <w:sz w:val="20"/>
                <w:szCs w:val="20"/>
              </w:rPr>
              <w:t>Old Lodge Lane</w:t>
            </w:r>
          </w:p>
        </w:tc>
        <w:tc>
          <w:tcPr>
            <w:tcW w:w="1843" w:type="dxa"/>
          </w:tcPr>
          <w:p w:rsidR="00407188" w:rsidRDefault="00407188" w:rsidP="00E26D3A">
            <w:pPr>
              <w:spacing w:line="360" w:lineRule="auto"/>
              <w:rPr>
                <w:rFonts w:ascii="Arial" w:hAnsi="Arial" w:cs="Arial"/>
                <w:sz w:val="16"/>
                <w:szCs w:val="16"/>
              </w:rPr>
            </w:pPr>
            <w:r w:rsidRPr="00D73393">
              <w:rPr>
                <w:rFonts w:ascii="Arial" w:hAnsi="Arial" w:cs="Arial"/>
                <w:sz w:val="16"/>
                <w:szCs w:val="16"/>
              </w:rPr>
              <w:t>S&amp;R</w:t>
            </w:r>
            <w:r>
              <w:rPr>
                <w:rFonts w:ascii="Arial" w:hAnsi="Arial" w:cs="Arial"/>
                <w:sz w:val="16"/>
                <w:szCs w:val="16"/>
              </w:rPr>
              <w:t xml:space="preserve"> Inc. R</w:t>
            </w:r>
          </w:p>
          <w:p w:rsidR="00407188" w:rsidRPr="00D73393" w:rsidRDefault="00407188" w:rsidP="00E26D3A">
            <w:pPr>
              <w:spacing w:line="360" w:lineRule="auto"/>
              <w:rPr>
                <w:rFonts w:ascii="Arial" w:hAnsi="Arial" w:cs="Arial"/>
                <w:sz w:val="16"/>
                <w:szCs w:val="16"/>
              </w:rPr>
            </w:pPr>
            <w:r w:rsidRPr="00E26D3A">
              <w:rPr>
                <w:rFonts w:ascii="Arial" w:hAnsi="Arial" w:cs="Arial"/>
                <w:sz w:val="16"/>
                <w:szCs w:val="16"/>
              </w:rPr>
              <w:t>S&amp;R</w:t>
            </w:r>
          </w:p>
        </w:tc>
        <w:tc>
          <w:tcPr>
            <w:tcW w:w="1701" w:type="dxa"/>
          </w:tcPr>
          <w:p w:rsidR="00407188" w:rsidRPr="00FE4E8E" w:rsidRDefault="00407188" w:rsidP="0076758D">
            <w:pPr>
              <w:spacing w:line="360" w:lineRule="auto"/>
              <w:rPr>
                <w:sz w:val="16"/>
                <w:szCs w:val="16"/>
              </w:rPr>
            </w:pPr>
            <w:r w:rsidRPr="00FE4E8E">
              <w:rPr>
                <w:sz w:val="16"/>
                <w:szCs w:val="16"/>
              </w:rPr>
              <w:t xml:space="preserve">£  </w:t>
            </w:r>
            <w:r>
              <w:rPr>
                <w:sz w:val="16"/>
                <w:szCs w:val="16"/>
              </w:rPr>
              <w:t xml:space="preserve">     </w:t>
            </w:r>
            <w:r w:rsidRPr="00FE4E8E">
              <w:rPr>
                <w:sz w:val="16"/>
                <w:szCs w:val="16"/>
              </w:rPr>
              <w:t xml:space="preserve">15,198.84 </w:t>
            </w:r>
          </w:p>
          <w:p w:rsidR="00407188" w:rsidRPr="0076758D" w:rsidRDefault="00407188" w:rsidP="0076758D">
            <w:pPr>
              <w:spacing w:line="360" w:lineRule="auto"/>
              <w:rPr>
                <w:rFonts w:cstheme="minorHAnsi"/>
                <w:sz w:val="16"/>
                <w:szCs w:val="16"/>
              </w:rPr>
            </w:pPr>
            <w:r w:rsidRPr="0076758D">
              <w:rPr>
                <w:rFonts w:cstheme="minorHAnsi"/>
                <w:sz w:val="16"/>
                <w:szCs w:val="16"/>
              </w:rPr>
              <w:t xml:space="preserve">£     </w:t>
            </w:r>
            <w:r>
              <w:rPr>
                <w:rFonts w:cstheme="minorHAnsi"/>
                <w:sz w:val="16"/>
                <w:szCs w:val="16"/>
              </w:rPr>
              <w:t xml:space="preserve">  </w:t>
            </w:r>
            <w:r w:rsidRPr="0076758D">
              <w:rPr>
                <w:rFonts w:cstheme="minorHAnsi"/>
                <w:sz w:val="16"/>
                <w:szCs w:val="16"/>
              </w:rPr>
              <w:t>14,500</w:t>
            </w:r>
          </w:p>
        </w:tc>
      </w:tr>
    </w:tbl>
    <w:p w:rsidR="00FB6E7E" w:rsidRDefault="00FB6E7E" w:rsidP="00B04A95"/>
    <w:p w:rsidR="006C6CC9" w:rsidRDefault="006C6CC9" w:rsidP="00B04A95">
      <w:pPr>
        <w:rPr>
          <w:b/>
        </w:rPr>
      </w:pPr>
    </w:p>
    <w:p w:rsidR="00FE6996" w:rsidRPr="00FE6996" w:rsidRDefault="00FE6996" w:rsidP="00FE6996">
      <w:pPr>
        <w:spacing w:line="360" w:lineRule="auto"/>
        <w:rPr>
          <w:rFonts w:ascii="Arial" w:hAnsi="Arial" w:cs="Arial"/>
          <w:sz w:val="16"/>
          <w:szCs w:val="16"/>
        </w:rPr>
      </w:pPr>
    </w:p>
    <w:sectPr w:rsidR="00FE6996" w:rsidRPr="00FE69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88" w:rsidRDefault="00FE1C88" w:rsidP="006C6CC9">
      <w:pPr>
        <w:spacing w:after="0" w:line="240" w:lineRule="auto"/>
      </w:pPr>
      <w:r>
        <w:separator/>
      </w:r>
    </w:p>
  </w:endnote>
  <w:endnote w:type="continuationSeparator" w:id="0">
    <w:p w:rsidR="00FE1C88" w:rsidRDefault="00FE1C88" w:rsidP="006C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88" w:rsidRDefault="00FE1C88" w:rsidP="006C6CC9">
      <w:pPr>
        <w:spacing w:after="0" w:line="240" w:lineRule="auto"/>
      </w:pPr>
      <w:r>
        <w:separator/>
      </w:r>
    </w:p>
  </w:footnote>
  <w:footnote w:type="continuationSeparator" w:id="0">
    <w:p w:rsidR="00FE1C88" w:rsidRDefault="00FE1C88" w:rsidP="006C6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129"/>
    <w:multiLevelType w:val="hybridMultilevel"/>
    <w:tmpl w:val="C7B4D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12129"/>
    <w:multiLevelType w:val="hybridMultilevel"/>
    <w:tmpl w:val="A780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6F7F"/>
    <w:multiLevelType w:val="hybridMultilevel"/>
    <w:tmpl w:val="72A6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F006C"/>
    <w:multiLevelType w:val="hybridMultilevel"/>
    <w:tmpl w:val="C8CC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61F34"/>
    <w:multiLevelType w:val="hybridMultilevel"/>
    <w:tmpl w:val="DD1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5"/>
    <w:rsid w:val="00024B2F"/>
    <w:rsid w:val="00090F93"/>
    <w:rsid w:val="0017052C"/>
    <w:rsid w:val="00177286"/>
    <w:rsid w:val="00191E78"/>
    <w:rsid w:val="001D18DF"/>
    <w:rsid w:val="001F68D8"/>
    <w:rsid w:val="00203271"/>
    <w:rsid w:val="00221702"/>
    <w:rsid w:val="0028744F"/>
    <w:rsid w:val="00343D85"/>
    <w:rsid w:val="00350E4D"/>
    <w:rsid w:val="00357030"/>
    <w:rsid w:val="00407188"/>
    <w:rsid w:val="004B5D1E"/>
    <w:rsid w:val="005548D1"/>
    <w:rsid w:val="005D32B2"/>
    <w:rsid w:val="00614DC8"/>
    <w:rsid w:val="006172D9"/>
    <w:rsid w:val="006607A5"/>
    <w:rsid w:val="0067123C"/>
    <w:rsid w:val="006C6CC9"/>
    <w:rsid w:val="00757CDC"/>
    <w:rsid w:val="0076758D"/>
    <w:rsid w:val="00773134"/>
    <w:rsid w:val="00781F6A"/>
    <w:rsid w:val="007E07EC"/>
    <w:rsid w:val="00871A5D"/>
    <w:rsid w:val="00876ECD"/>
    <w:rsid w:val="00883D17"/>
    <w:rsid w:val="008841D8"/>
    <w:rsid w:val="008F1C12"/>
    <w:rsid w:val="00912B99"/>
    <w:rsid w:val="00A269A7"/>
    <w:rsid w:val="00A83684"/>
    <w:rsid w:val="00A95AAF"/>
    <w:rsid w:val="00AB2F80"/>
    <w:rsid w:val="00B04A95"/>
    <w:rsid w:val="00B377E9"/>
    <w:rsid w:val="00BD6413"/>
    <w:rsid w:val="00C70968"/>
    <w:rsid w:val="00CA70CD"/>
    <w:rsid w:val="00CD72FC"/>
    <w:rsid w:val="00D73393"/>
    <w:rsid w:val="00D832F6"/>
    <w:rsid w:val="00D92CE3"/>
    <w:rsid w:val="00DA114C"/>
    <w:rsid w:val="00DC77F3"/>
    <w:rsid w:val="00DE1B28"/>
    <w:rsid w:val="00E011D1"/>
    <w:rsid w:val="00E253C3"/>
    <w:rsid w:val="00E26D3A"/>
    <w:rsid w:val="00E32C52"/>
    <w:rsid w:val="00E66416"/>
    <w:rsid w:val="00F5501C"/>
    <w:rsid w:val="00F57668"/>
    <w:rsid w:val="00FA7E90"/>
    <w:rsid w:val="00FB6E7E"/>
    <w:rsid w:val="00FE1C88"/>
    <w:rsid w:val="00FE4E8E"/>
    <w:rsid w:val="00FE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B214A-B000-4342-A041-D14BFBC5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30"/>
    <w:pPr>
      <w:ind w:left="720"/>
      <w:contextualSpacing/>
    </w:pPr>
  </w:style>
  <w:style w:type="paragraph" w:styleId="Header">
    <w:name w:val="header"/>
    <w:basedOn w:val="Normal"/>
    <w:link w:val="HeaderChar"/>
    <w:uiPriority w:val="99"/>
    <w:unhideWhenUsed/>
    <w:rsid w:val="006C6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CC9"/>
  </w:style>
  <w:style w:type="paragraph" w:styleId="Footer">
    <w:name w:val="footer"/>
    <w:basedOn w:val="Normal"/>
    <w:link w:val="FooterChar"/>
    <w:uiPriority w:val="99"/>
    <w:unhideWhenUsed/>
    <w:rsid w:val="006C6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937">
      <w:bodyDiv w:val="1"/>
      <w:marLeft w:val="0"/>
      <w:marRight w:val="0"/>
      <w:marTop w:val="0"/>
      <w:marBottom w:val="0"/>
      <w:divBdr>
        <w:top w:val="none" w:sz="0" w:space="0" w:color="auto"/>
        <w:left w:val="none" w:sz="0" w:space="0" w:color="auto"/>
        <w:bottom w:val="none" w:sz="0" w:space="0" w:color="auto"/>
        <w:right w:val="none" w:sz="0" w:space="0" w:color="auto"/>
      </w:divBdr>
    </w:div>
    <w:div w:id="172644899">
      <w:bodyDiv w:val="1"/>
      <w:marLeft w:val="0"/>
      <w:marRight w:val="0"/>
      <w:marTop w:val="0"/>
      <w:marBottom w:val="0"/>
      <w:divBdr>
        <w:top w:val="none" w:sz="0" w:space="0" w:color="auto"/>
        <w:left w:val="none" w:sz="0" w:space="0" w:color="auto"/>
        <w:bottom w:val="none" w:sz="0" w:space="0" w:color="auto"/>
        <w:right w:val="none" w:sz="0" w:space="0" w:color="auto"/>
      </w:divBdr>
    </w:div>
    <w:div w:id="247615170">
      <w:bodyDiv w:val="1"/>
      <w:marLeft w:val="0"/>
      <w:marRight w:val="0"/>
      <w:marTop w:val="0"/>
      <w:marBottom w:val="0"/>
      <w:divBdr>
        <w:top w:val="none" w:sz="0" w:space="0" w:color="auto"/>
        <w:left w:val="none" w:sz="0" w:space="0" w:color="auto"/>
        <w:bottom w:val="none" w:sz="0" w:space="0" w:color="auto"/>
        <w:right w:val="none" w:sz="0" w:space="0" w:color="auto"/>
      </w:divBdr>
    </w:div>
    <w:div w:id="532109121">
      <w:bodyDiv w:val="1"/>
      <w:marLeft w:val="0"/>
      <w:marRight w:val="0"/>
      <w:marTop w:val="0"/>
      <w:marBottom w:val="0"/>
      <w:divBdr>
        <w:top w:val="none" w:sz="0" w:space="0" w:color="auto"/>
        <w:left w:val="none" w:sz="0" w:space="0" w:color="auto"/>
        <w:bottom w:val="none" w:sz="0" w:space="0" w:color="auto"/>
        <w:right w:val="none" w:sz="0" w:space="0" w:color="auto"/>
      </w:divBdr>
    </w:div>
    <w:div w:id="716198001">
      <w:bodyDiv w:val="1"/>
      <w:marLeft w:val="0"/>
      <w:marRight w:val="0"/>
      <w:marTop w:val="0"/>
      <w:marBottom w:val="0"/>
      <w:divBdr>
        <w:top w:val="none" w:sz="0" w:space="0" w:color="auto"/>
        <w:left w:val="none" w:sz="0" w:space="0" w:color="auto"/>
        <w:bottom w:val="none" w:sz="0" w:space="0" w:color="auto"/>
        <w:right w:val="none" w:sz="0" w:space="0" w:color="auto"/>
      </w:divBdr>
    </w:div>
    <w:div w:id="884637265">
      <w:bodyDiv w:val="1"/>
      <w:marLeft w:val="0"/>
      <w:marRight w:val="0"/>
      <w:marTop w:val="0"/>
      <w:marBottom w:val="0"/>
      <w:divBdr>
        <w:top w:val="none" w:sz="0" w:space="0" w:color="auto"/>
        <w:left w:val="none" w:sz="0" w:space="0" w:color="auto"/>
        <w:bottom w:val="none" w:sz="0" w:space="0" w:color="auto"/>
        <w:right w:val="none" w:sz="0" w:space="0" w:color="auto"/>
      </w:divBdr>
    </w:div>
    <w:div w:id="997997227">
      <w:bodyDiv w:val="1"/>
      <w:marLeft w:val="0"/>
      <w:marRight w:val="0"/>
      <w:marTop w:val="0"/>
      <w:marBottom w:val="0"/>
      <w:divBdr>
        <w:top w:val="none" w:sz="0" w:space="0" w:color="auto"/>
        <w:left w:val="none" w:sz="0" w:space="0" w:color="auto"/>
        <w:bottom w:val="none" w:sz="0" w:space="0" w:color="auto"/>
        <w:right w:val="none" w:sz="0" w:space="0" w:color="auto"/>
      </w:divBdr>
    </w:div>
    <w:div w:id="1174303525">
      <w:bodyDiv w:val="1"/>
      <w:marLeft w:val="0"/>
      <w:marRight w:val="0"/>
      <w:marTop w:val="0"/>
      <w:marBottom w:val="0"/>
      <w:divBdr>
        <w:top w:val="none" w:sz="0" w:space="0" w:color="auto"/>
        <w:left w:val="none" w:sz="0" w:space="0" w:color="auto"/>
        <w:bottom w:val="none" w:sz="0" w:space="0" w:color="auto"/>
        <w:right w:val="none" w:sz="0" w:space="0" w:color="auto"/>
      </w:divBdr>
    </w:div>
    <w:div w:id="1281916900">
      <w:bodyDiv w:val="1"/>
      <w:marLeft w:val="0"/>
      <w:marRight w:val="0"/>
      <w:marTop w:val="0"/>
      <w:marBottom w:val="0"/>
      <w:divBdr>
        <w:top w:val="none" w:sz="0" w:space="0" w:color="auto"/>
        <w:left w:val="none" w:sz="0" w:space="0" w:color="auto"/>
        <w:bottom w:val="none" w:sz="0" w:space="0" w:color="auto"/>
        <w:right w:val="none" w:sz="0" w:space="0" w:color="auto"/>
      </w:divBdr>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686203837">
      <w:bodyDiv w:val="1"/>
      <w:marLeft w:val="0"/>
      <w:marRight w:val="0"/>
      <w:marTop w:val="0"/>
      <w:marBottom w:val="0"/>
      <w:divBdr>
        <w:top w:val="none" w:sz="0" w:space="0" w:color="auto"/>
        <w:left w:val="none" w:sz="0" w:space="0" w:color="auto"/>
        <w:bottom w:val="none" w:sz="0" w:space="0" w:color="auto"/>
        <w:right w:val="none" w:sz="0" w:space="0" w:color="auto"/>
      </w:divBdr>
    </w:div>
    <w:div w:id="1809711261">
      <w:bodyDiv w:val="1"/>
      <w:marLeft w:val="0"/>
      <w:marRight w:val="0"/>
      <w:marTop w:val="0"/>
      <w:marBottom w:val="0"/>
      <w:divBdr>
        <w:top w:val="none" w:sz="0" w:space="0" w:color="auto"/>
        <w:left w:val="none" w:sz="0" w:space="0" w:color="auto"/>
        <w:bottom w:val="none" w:sz="0" w:space="0" w:color="auto"/>
        <w:right w:val="none" w:sz="0" w:space="0" w:color="auto"/>
      </w:divBdr>
    </w:div>
    <w:div w:id="1889485298">
      <w:bodyDiv w:val="1"/>
      <w:marLeft w:val="0"/>
      <w:marRight w:val="0"/>
      <w:marTop w:val="0"/>
      <w:marBottom w:val="0"/>
      <w:divBdr>
        <w:top w:val="none" w:sz="0" w:space="0" w:color="auto"/>
        <w:left w:val="none" w:sz="0" w:space="0" w:color="auto"/>
        <w:bottom w:val="none" w:sz="0" w:space="0" w:color="auto"/>
        <w:right w:val="none" w:sz="0" w:space="0" w:color="auto"/>
      </w:divBdr>
    </w:div>
    <w:div w:id="20598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2, Fiona</dc:creator>
  <cp:keywords/>
  <dc:description/>
  <cp:lastModifiedBy>Fraser 2, Fiona</cp:lastModifiedBy>
  <cp:revision>5</cp:revision>
  <dcterms:created xsi:type="dcterms:W3CDTF">2019-09-23T13:22:00Z</dcterms:created>
  <dcterms:modified xsi:type="dcterms:W3CDTF">2019-09-23T13:45:00Z</dcterms:modified>
</cp:coreProperties>
</file>